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0C" w:rsidRDefault="008022C2" w:rsidP="000C6506">
      <w:pPr>
        <w:spacing w:line="480" w:lineRule="exact"/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0C65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期貨商</w:t>
      </w:r>
      <w:r w:rsidR="003A2D69" w:rsidRPr="00E657B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E657B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期貨交易輔助人辦理防制洗錢及</w:t>
      </w:r>
      <w:proofErr w:type="gramStart"/>
      <w:r w:rsidRPr="00E657B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打擊資恐相關</w:t>
      </w:r>
      <w:proofErr w:type="gramEnd"/>
      <w:r w:rsidRPr="00E657B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作業</w:t>
      </w:r>
      <w:r w:rsidR="0043319D" w:rsidRPr="00E657B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參考</w:t>
      </w:r>
      <w:r w:rsidRPr="004331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範本</w:t>
      </w:r>
    </w:p>
    <w:p w:rsidR="00C86BAC" w:rsidRPr="00C86BAC" w:rsidRDefault="00C86BAC" w:rsidP="000C6506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C86BAC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10710</w:t>
      </w:r>
    </w:p>
    <w:p w:rsidR="001B36E6" w:rsidRDefault="008022C2" w:rsidP="0093734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43319D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bookmarkStart w:id="0" w:name="_GoBack"/>
      <w:bookmarkEnd w:id="0"/>
      <w:r w:rsidR="0043319D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考範本</w:t>
      </w:r>
      <w:r w:rsidR="00A5572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係依據證券商經營期貨交易輔助業務管理規則</w:t>
      </w:r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84198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期貨商委任證券商經營期貨交易輔助業務應行注意事項、</w:t>
      </w:r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金融機構防制洗錢辦法</w:t>
      </w:r>
      <w:r w:rsidR="00684198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證券</w:t>
      </w:r>
      <w:proofErr w:type="gramStart"/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期貨業防制</w:t>
      </w:r>
      <w:proofErr w:type="gramEnd"/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洗錢及打擊</w:t>
      </w:r>
      <w:proofErr w:type="gramStart"/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資恐內部</w:t>
      </w:r>
      <w:proofErr w:type="gramEnd"/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控制要點</w:t>
      </w:r>
      <w:r w:rsidR="008C714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之規定</w:t>
      </w:r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訂定之。</w:t>
      </w:r>
    </w:p>
    <w:p w:rsidR="00863569" w:rsidRPr="001B36E6" w:rsidRDefault="002879ED" w:rsidP="0093734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按期貨交易輔助人</w:t>
      </w:r>
      <w:r w:rsidRPr="001B36E6">
        <w:rPr>
          <w:rFonts w:ascii="標楷體" w:eastAsia="標楷體" w:hAnsi="標楷體"/>
          <w:color w:val="000000" w:themeColor="text1"/>
          <w:sz w:val="28"/>
          <w:szCs w:val="28"/>
        </w:rPr>
        <w:t>從事招攬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1B36E6">
        <w:rPr>
          <w:rFonts w:ascii="標楷體" w:eastAsia="標楷體" w:hAnsi="標楷體"/>
          <w:color w:val="000000" w:themeColor="text1"/>
          <w:sz w:val="28"/>
          <w:szCs w:val="28"/>
        </w:rPr>
        <w:t>代理期貨商接受客戶開戶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，委任期貨商應辦理確認客戶身分之相關事宜，</w:t>
      </w:r>
      <w:r w:rsidR="00E13D61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負</w:t>
      </w:r>
      <w:r w:rsidR="00E13D61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辦理防制洗錢及打擊</w:t>
      </w:r>
      <w:proofErr w:type="gramStart"/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資恐(</w:t>
      </w:r>
      <w:proofErr w:type="gramEnd"/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下稱AML/CFT)之</w:t>
      </w:r>
      <w:r w:rsidR="00E13D61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責任</w:t>
      </w:r>
      <w:r w:rsidR="00810D8A" w:rsidRPr="001B36E6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3A2D69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937342" w:rsidRPr="001B36E6">
        <w:rPr>
          <w:rFonts w:ascii="標楷體" w:eastAsia="標楷體" w:hAnsi="標楷體"/>
          <w:color w:val="000000" w:themeColor="text1"/>
          <w:sz w:val="28"/>
          <w:szCs w:val="28"/>
        </w:rPr>
        <w:t>AML/CFT</w:t>
      </w:r>
      <w:r w:rsidR="00937342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作業，</w:t>
      </w:r>
      <w:r w:rsidR="003A2D69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應依雙方</w:t>
      </w:r>
      <w:r w:rsidR="00937342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約定</w:t>
      </w:r>
      <w:r w:rsidR="003A2D69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之分工原則</w:t>
      </w:r>
      <w:r w:rsidR="00937342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863569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13D61" w:rsidRPr="001B36E6" w:rsidRDefault="00863569" w:rsidP="00E13D6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期貨交易輔助人</w:t>
      </w:r>
      <w:r w:rsidR="006F295E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辦理包括但不限下列AML/CFT相關作業</w:t>
      </w:r>
      <w:proofErr w:type="gramStart"/>
      <w:r w:rsidR="00E13D61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</w:p>
    <w:p w:rsidR="00A567D5" w:rsidRPr="001B36E6" w:rsidRDefault="003063ED" w:rsidP="00E13D61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受理期貨交易人開戶並辦理審查、客戶身分確認及評估作業。</w:t>
      </w:r>
    </w:p>
    <w:p w:rsidR="00E13D61" w:rsidRPr="001B36E6" w:rsidRDefault="00E13D61" w:rsidP="00E13D61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高風險客戶加強審查作業。</w:t>
      </w:r>
    </w:p>
    <w:p w:rsidR="00E13D61" w:rsidRPr="001B36E6" w:rsidRDefault="00E13D61" w:rsidP="00E13D61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客戶身分持續審查作業。</w:t>
      </w:r>
    </w:p>
    <w:p w:rsidR="00E13D61" w:rsidRPr="001B36E6" w:rsidRDefault="00E13D61" w:rsidP="00E13D61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帳戶及交易持續監控。</w:t>
      </w:r>
    </w:p>
    <w:p w:rsidR="00E13D61" w:rsidRPr="001B36E6" w:rsidRDefault="00E13D61" w:rsidP="00E13D61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發現可疑交易審核。</w:t>
      </w:r>
    </w:p>
    <w:p w:rsidR="001B36E6" w:rsidRDefault="00863569" w:rsidP="001B36E6">
      <w:pPr>
        <w:spacing w:line="480" w:lineRule="exact"/>
        <w:ind w:left="70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B36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567D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期貨交易輔助人</w:t>
      </w:r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上開</w:t>
      </w:r>
      <w:r w:rsidR="008C714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30523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審查表單(</w:t>
      </w:r>
      <w:r w:rsidR="000C6506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例</w:t>
      </w:r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proofErr w:type="gramStart"/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proofErr w:type="gramEnd"/>
      <w:r w:rsidR="00672500" w:rsidRPr="001B36E6">
        <w:rPr>
          <w:rFonts w:ascii="標楷體" w:eastAsia="標楷體" w:hAnsi="標楷體"/>
          <w:color w:val="000000" w:themeColor="text1"/>
          <w:sz w:val="28"/>
          <w:szCs w:val="28"/>
        </w:rPr>
        <w:t>AML/CFT</w:t>
      </w:r>
      <w:r w:rsidR="0067250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聲明書暨檢核表</w:t>
      </w:r>
      <w:r w:rsidR="00E17C05" w:rsidRPr="001B36E6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E17C0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詳附件範例</w:t>
      </w:r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)，應</w:t>
      </w:r>
      <w:r w:rsidR="000709C1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684198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C457BD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AML/CFT</w:t>
      </w:r>
      <w:r w:rsidR="00684198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事項之審查後送交</w:t>
      </w:r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委任期貨商權責人員</w:t>
      </w:r>
      <w:r w:rsidR="00937342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覆核</w:t>
      </w:r>
      <w:r w:rsidR="0093055D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或簽名(</w:t>
      </w:r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蓋章</w:t>
      </w:r>
      <w:r w:rsidR="0093055D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55086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410B44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B36E6" w:rsidRPr="001B36E6" w:rsidRDefault="00E30523" w:rsidP="001B36E6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發現疑似洗錢</w:t>
      </w:r>
      <w:proofErr w:type="gramStart"/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或資恐交易</w:t>
      </w:r>
      <w:proofErr w:type="gramEnd"/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457BD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委任期貨商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C457BD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向法務部調查局辦理申報，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惟期貨交易輔助人亦可同時辦理申報，委任期貨商</w:t>
      </w:r>
      <w:r w:rsidR="0067250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並應於每會計年度終了後15日內，將上一年度所申報（包括</w:t>
      </w:r>
      <w:r w:rsidR="00B842B8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自身</w:t>
      </w:r>
      <w:r w:rsidR="0067250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及所屬期貨交易輔助人）疑似洗錢</w:t>
      </w:r>
      <w:proofErr w:type="gramStart"/>
      <w:r w:rsidR="0067250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或資恐交易</w:t>
      </w:r>
      <w:proofErr w:type="gramEnd"/>
      <w:r w:rsidR="0067250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態樣項目</w:t>
      </w:r>
      <w:proofErr w:type="gramStart"/>
      <w:r w:rsidR="0067250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67250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件數</w:t>
      </w:r>
      <w:proofErr w:type="gramEnd"/>
      <w:r w:rsidR="0067250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，函報金管會備查並副知臺灣期貨交易所及本公會</w:t>
      </w:r>
      <w:r w:rsidR="0029727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84198" w:rsidRPr="001B36E6" w:rsidRDefault="00684198" w:rsidP="001B36E6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期貨商、</w:t>
      </w:r>
      <w:r w:rsidR="008C714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期貨交易輔助人</w:t>
      </w:r>
      <w:r w:rsidR="00E17C05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應依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810D8A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參考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範本訂定其</w:t>
      </w:r>
      <w:r w:rsidR="008C714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作業規範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，經董事會</w:t>
      </w:r>
      <w:r w:rsidR="008C7140"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或董事會授權之經理部門同意後實施</w:t>
      </w:r>
      <w:r w:rsidRPr="001B36E6">
        <w:rPr>
          <w:rFonts w:ascii="標楷體" w:eastAsia="標楷體" w:hAnsi="標楷體" w:hint="eastAsia"/>
          <w:color w:val="000000" w:themeColor="text1"/>
          <w:sz w:val="28"/>
          <w:szCs w:val="28"/>
        </w:rPr>
        <w:t>；修正時，亦同。</w:t>
      </w:r>
    </w:p>
    <w:sectPr w:rsidR="00684198" w:rsidRPr="001B36E6" w:rsidSect="008022C2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6F" w:rsidRDefault="00F9146F" w:rsidP="00E17C05">
      <w:r>
        <w:separator/>
      </w:r>
    </w:p>
  </w:endnote>
  <w:endnote w:type="continuationSeparator" w:id="0">
    <w:p w:rsidR="00F9146F" w:rsidRDefault="00F9146F" w:rsidP="00E1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6F" w:rsidRDefault="00F9146F" w:rsidP="00E17C05">
      <w:r>
        <w:separator/>
      </w:r>
    </w:p>
  </w:footnote>
  <w:footnote w:type="continuationSeparator" w:id="0">
    <w:p w:rsidR="00F9146F" w:rsidRDefault="00F9146F" w:rsidP="00E1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00A"/>
    <w:multiLevelType w:val="hybridMultilevel"/>
    <w:tmpl w:val="CFFEF514"/>
    <w:lvl w:ilvl="0" w:tplc="551A2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E337EF"/>
    <w:multiLevelType w:val="hybridMultilevel"/>
    <w:tmpl w:val="ECA070D8"/>
    <w:lvl w:ilvl="0" w:tplc="992CD1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D5CA384">
      <w:start w:val="1"/>
      <w:numFmt w:val="taiwaneseCountingThousand"/>
      <w:lvlText w:val="(一)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23916"/>
    <w:multiLevelType w:val="hybridMultilevel"/>
    <w:tmpl w:val="3CE47DBE"/>
    <w:lvl w:ilvl="0" w:tplc="5B7C0294">
      <w:start w:val="1"/>
      <w:numFmt w:val="taiwaneseCountingThousand"/>
      <w:lvlText w:val="（%1）"/>
      <w:lvlJc w:val="left"/>
      <w:pPr>
        <w:ind w:left="1428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2"/>
    <w:rsid w:val="000042BC"/>
    <w:rsid w:val="000709C1"/>
    <w:rsid w:val="000C6506"/>
    <w:rsid w:val="001B36E6"/>
    <w:rsid w:val="002879ED"/>
    <w:rsid w:val="00297275"/>
    <w:rsid w:val="002A3B44"/>
    <w:rsid w:val="002B18FD"/>
    <w:rsid w:val="002F2489"/>
    <w:rsid w:val="003063ED"/>
    <w:rsid w:val="003257E5"/>
    <w:rsid w:val="003A2D69"/>
    <w:rsid w:val="00410B44"/>
    <w:rsid w:val="0043319D"/>
    <w:rsid w:val="004C6A36"/>
    <w:rsid w:val="005E26CC"/>
    <w:rsid w:val="00672500"/>
    <w:rsid w:val="00684198"/>
    <w:rsid w:val="006E6103"/>
    <w:rsid w:val="006F295E"/>
    <w:rsid w:val="007436CB"/>
    <w:rsid w:val="008022C2"/>
    <w:rsid w:val="00810D8A"/>
    <w:rsid w:val="00863569"/>
    <w:rsid w:val="00892C0C"/>
    <w:rsid w:val="008C7140"/>
    <w:rsid w:val="0093055D"/>
    <w:rsid w:val="00937342"/>
    <w:rsid w:val="009E69BE"/>
    <w:rsid w:val="00A44102"/>
    <w:rsid w:val="00A55720"/>
    <w:rsid w:val="00A567D5"/>
    <w:rsid w:val="00A807C4"/>
    <w:rsid w:val="00A949DA"/>
    <w:rsid w:val="00AC7E64"/>
    <w:rsid w:val="00B02375"/>
    <w:rsid w:val="00B842B8"/>
    <w:rsid w:val="00C457BD"/>
    <w:rsid w:val="00C73A95"/>
    <w:rsid w:val="00C86BAC"/>
    <w:rsid w:val="00D61087"/>
    <w:rsid w:val="00DD7945"/>
    <w:rsid w:val="00E13D61"/>
    <w:rsid w:val="00E17C05"/>
    <w:rsid w:val="00E30523"/>
    <w:rsid w:val="00E657B2"/>
    <w:rsid w:val="00F55086"/>
    <w:rsid w:val="00F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C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C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7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7C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7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7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D026-4FDC-48D0-AC60-325B7CD1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陳怡真</dc:creator>
  <cp:lastModifiedBy>張瓊文</cp:lastModifiedBy>
  <cp:revision>2</cp:revision>
  <cp:lastPrinted>2018-08-15T03:06:00Z</cp:lastPrinted>
  <dcterms:created xsi:type="dcterms:W3CDTF">2018-10-19T01:49:00Z</dcterms:created>
  <dcterms:modified xsi:type="dcterms:W3CDTF">2018-10-19T01:49:00Z</dcterms:modified>
</cp:coreProperties>
</file>