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2D" w:rsidRPr="005D1E2D" w:rsidRDefault="005D1E2D" w:rsidP="00AB6D48">
      <w:pPr>
        <w:spacing w:line="420" w:lineRule="exact"/>
        <w:jc w:val="center"/>
        <w:rPr>
          <w:rFonts w:ascii="標楷體" w:eastAsia="標楷體" w:hAnsi="標楷體"/>
          <w:sz w:val="32"/>
          <w:szCs w:val="32"/>
        </w:rPr>
      </w:pPr>
      <w:bookmarkStart w:id="0" w:name="_GoBack"/>
      <w:bookmarkEnd w:id="0"/>
      <w:r w:rsidRPr="005D1E2D">
        <w:rPr>
          <w:rFonts w:ascii="標楷體" w:eastAsia="標楷體" w:hAnsi="標楷體" w:hint="eastAsia"/>
          <w:sz w:val="32"/>
          <w:szCs w:val="32"/>
        </w:rPr>
        <w:t>中華民國期貨業商業同業公會</w:t>
      </w:r>
    </w:p>
    <w:p w:rsidR="00527445" w:rsidRPr="00CD0063" w:rsidRDefault="005D1E2D" w:rsidP="00AB6D48">
      <w:pPr>
        <w:spacing w:line="420" w:lineRule="exact"/>
        <w:jc w:val="center"/>
        <w:rPr>
          <w:rFonts w:ascii="標楷體" w:eastAsia="標楷體" w:hAnsi="標楷體" w:cs="標楷體..分."/>
          <w:color w:val="000000"/>
          <w:kern w:val="0"/>
          <w:sz w:val="20"/>
          <w:szCs w:val="20"/>
        </w:rPr>
      </w:pPr>
      <w:r w:rsidRPr="005D1E2D">
        <w:rPr>
          <w:rFonts w:ascii="標楷體" w:eastAsia="標楷體" w:hAnsi="標楷體" w:hint="eastAsia"/>
          <w:sz w:val="32"/>
          <w:szCs w:val="32"/>
        </w:rPr>
        <w:t>「期貨交易人</w:t>
      </w:r>
      <w:proofErr w:type="gramStart"/>
      <w:r w:rsidRPr="005D1E2D">
        <w:rPr>
          <w:rFonts w:ascii="標楷體" w:eastAsia="標楷體" w:hAnsi="標楷體" w:hint="eastAsia"/>
          <w:sz w:val="32"/>
          <w:szCs w:val="32"/>
        </w:rPr>
        <w:t>採</w:t>
      </w:r>
      <w:proofErr w:type="gramEnd"/>
      <w:r w:rsidRPr="005D1E2D">
        <w:rPr>
          <w:rFonts w:ascii="標楷體" w:eastAsia="標楷體" w:hAnsi="標楷體" w:hint="eastAsia"/>
          <w:sz w:val="32"/>
          <w:szCs w:val="32"/>
        </w:rPr>
        <w:t>行整戶風險保證金計收方式自律規則」</w:t>
      </w:r>
    </w:p>
    <w:tbl>
      <w:tblPr>
        <w:tblpPr w:leftFromText="180" w:rightFromText="180" w:vertAnchor="text" w:horzAnchor="margin" w:tblpX="106" w:tblpY="429"/>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72"/>
      </w:tblGrid>
      <w:tr w:rsidR="005D1E2D" w:rsidRPr="005D1E2D" w:rsidTr="003829DB">
        <w:trPr>
          <w:trHeight w:val="120"/>
          <w:tblHeader/>
        </w:trPr>
        <w:tc>
          <w:tcPr>
            <w:tcW w:w="1101" w:type="dxa"/>
            <w:vAlign w:val="center"/>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條  次</w:t>
            </w:r>
          </w:p>
        </w:tc>
        <w:tc>
          <w:tcPr>
            <w:tcW w:w="8572" w:type="dxa"/>
            <w:vAlign w:val="center"/>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條文內容</w:t>
            </w:r>
          </w:p>
        </w:tc>
      </w:tr>
      <w:tr w:rsidR="005D1E2D" w:rsidRPr="005D1E2D" w:rsidTr="003829DB">
        <w:trPr>
          <w:trHeight w:val="120"/>
        </w:trPr>
        <w:tc>
          <w:tcPr>
            <w:tcW w:w="1101" w:type="dxa"/>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第一條</w:t>
            </w:r>
          </w:p>
        </w:tc>
        <w:tc>
          <w:tcPr>
            <w:tcW w:w="8572" w:type="dxa"/>
          </w:tcPr>
          <w:p w:rsidR="005D1E2D" w:rsidRPr="005D1E2D" w:rsidRDefault="005D1E2D" w:rsidP="00AB6D48">
            <w:pPr>
              <w:autoSpaceDE w:val="0"/>
              <w:autoSpaceDN w:val="0"/>
              <w:adjustRightInd w:val="0"/>
              <w:spacing w:line="420" w:lineRule="exact"/>
              <w:rPr>
                <w:rFonts w:ascii="標楷體" w:eastAsia="標楷體" w:hAnsi="標楷體" w:cs="Times New Roman"/>
                <w:szCs w:val="24"/>
              </w:rPr>
            </w:pPr>
            <w:r w:rsidRPr="005D1E2D">
              <w:rPr>
                <w:rFonts w:ascii="標楷體" w:eastAsia="標楷體" w:hAnsi="標楷體" w:cs="Times New Roman" w:hint="eastAsia"/>
                <w:szCs w:val="24"/>
              </w:rPr>
              <w:t>本規則依據期貨業商業同業公會管理規則第五條規定訂定之。</w:t>
            </w:r>
            <w:r w:rsidRPr="005D1E2D">
              <w:rPr>
                <w:rFonts w:ascii="標楷體" w:eastAsia="標楷體" w:hAnsi="標楷體" w:cs="Times New Roman"/>
                <w:szCs w:val="24"/>
              </w:rPr>
              <w:t xml:space="preserve"> </w:t>
            </w:r>
          </w:p>
        </w:tc>
      </w:tr>
      <w:tr w:rsidR="005D1E2D" w:rsidRPr="005D1E2D" w:rsidTr="003829DB">
        <w:trPr>
          <w:trHeight w:val="120"/>
        </w:trPr>
        <w:tc>
          <w:tcPr>
            <w:tcW w:w="1101" w:type="dxa"/>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第二條</w:t>
            </w:r>
          </w:p>
        </w:tc>
        <w:tc>
          <w:tcPr>
            <w:tcW w:w="8572" w:type="dxa"/>
          </w:tcPr>
          <w:p w:rsidR="005D1E2D" w:rsidRPr="005D1E2D" w:rsidRDefault="005D1E2D" w:rsidP="00AB6D48">
            <w:pPr>
              <w:autoSpaceDE w:val="0"/>
              <w:autoSpaceDN w:val="0"/>
              <w:adjustRightInd w:val="0"/>
              <w:spacing w:line="420" w:lineRule="exact"/>
              <w:jc w:val="both"/>
              <w:rPr>
                <w:rFonts w:ascii="標楷體" w:eastAsia="標楷體" w:hAnsi="標楷體" w:cs="Times New Roman"/>
                <w:szCs w:val="24"/>
              </w:rPr>
            </w:pPr>
            <w:r w:rsidRPr="005D1E2D">
              <w:rPr>
                <w:rFonts w:ascii="標楷體" w:eastAsia="標楷體" w:hAnsi="標楷體" w:cs="Times New Roman" w:hint="eastAsia"/>
                <w:szCs w:val="24"/>
              </w:rPr>
              <w:t>本公會會員受託從事期貨交易對期貨交易人</w:t>
            </w:r>
            <w:proofErr w:type="gramStart"/>
            <w:r w:rsidRPr="005D1E2D">
              <w:rPr>
                <w:rFonts w:ascii="標楷體" w:eastAsia="標楷體" w:hAnsi="標楷體" w:cs="Times New Roman" w:hint="eastAsia"/>
                <w:szCs w:val="24"/>
              </w:rPr>
              <w:t>採</w:t>
            </w:r>
            <w:proofErr w:type="gramEnd"/>
            <w:r w:rsidRPr="005D1E2D">
              <w:rPr>
                <w:rFonts w:ascii="標楷體" w:eastAsia="標楷體" w:hAnsi="標楷體" w:cs="Times New Roman" w:hint="eastAsia"/>
                <w:szCs w:val="24"/>
              </w:rPr>
              <w:t>行整戶風險保證金計收方式</w:t>
            </w:r>
            <w:r w:rsidRPr="005D1E2D">
              <w:rPr>
                <w:rFonts w:ascii="標楷體" w:eastAsia="標楷體" w:hAnsi="標楷體" w:cs="Times New Roman"/>
                <w:szCs w:val="24"/>
              </w:rPr>
              <w:t>(</w:t>
            </w:r>
            <w:r w:rsidRPr="005D1E2D">
              <w:rPr>
                <w:rFonts w:ascii="標楷體" w:eastAsia="標楷體" w:hAnsi="標楷體" w:cs="Times New Roman" w:hint="eastAsia"/>
                <w:szCs w:val="24"/>
              </w:rPr>
              <w:t>以下簡稱</w:t>
            </w:r>
            <w:r w:rsidRPr="005D1E2D">
              <w:rPr>
                <w:rFonts w:ascii="標楷體" w:eastAsia="標楷體" w:hAnsi="標楷體" w:cs="Times New Roman"/>
                <w:szCs w:val="24"/>
              </w:rPr>
              <w:t>SPAN)</w:t>
            </w:r>
            <w:r w:rsidRPr="005D1E2D">
              <w:rPr>
                <w:rFonts w:ascii="標楷體" w:eastAsia="標楷體" w:hAnsi="標楷體" w:cs="Times New Roman" w:hint="eastAsia"/>
                <w:szCs w:val="24"/>
              </w:rPr>
              <w:t>之管理，除其他法令規章另有規定者外，應依本規則之規定辦理。</w:t>
            </w:r>
            <w:r w:rsidRPr="005D1E2D">
              <w:rPr>
                <w:rFonts w:ascii="標楷體" w:eastAsia="標楷體" w:hAnsi="標楷體" w:cs="Times New Roman"/>
                <w:szCs w:val="24"/>
              </w:rPr>
              <w:t xml:space="preserve"> </w:t>
            </w:r>
          </w:p>
        </w:tc>
      </w:tr>
      <w:tr w:rsidR="005D1E2D" w:rsidRPr="005D1E2D" w:rsidTr="003829DB">
        <w:trPr>
          <w:trHeight w:val="120"/>
        </w:trPr>
        <w:tc>
          <w:tcPr>
            <w:tcW w:w="1101" w:type="dxa"/>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第三條</w:t>
            </w:r>
          </w:p>
        </w:tc>
        <w:tc>
          <w:tcPr>
            <w:tcW w:w="8572" w:type="dxa"/>
          </w:tcPr>
          <w:p w:rsidR="00B37E19" w:rsidRPr="00B37E19" w:rsidRDefault="00B37E19" w:rsidP="00B37E19">
            <w:pPr>
              <w:autoSpaceDE w:val="0"/>
              <w:autoSpaceDN w:val="0"/>
              <w:adjustRightInd w:val="0"/>
              <w:spacing w:line="420" w:lineRule="exact"/>
              <w:jc w:val="both"/>
              <w:rPr>
                <w:rFonts w:ascii="標楷體" w:eastAsia="標楷體" w:hAnsi="標楷體" w:cs="Times New Roman"/>
                <w:szCs w:val="24"/>
              </w:rPr>
            </w:pPr>
            <w:r w:rsidRPr="00B37E19">
              <w:rPr>
                <w:rFonts w:ascii="標楷體" w:eastAsia="標楷體" w:hAnsi="標楷體" w:cs="Times New Roman" w:hint="eastAsia"/>
                <w:szCs w:val="24"/>
              </w:rPr>
              <w:t>申請</w:t>
            </w:r>
            <w:proofErr w:type="gramStart"/>
            <w:r w:rsidRPr="00B37E19">
              <w:rPr>
                <w:rFonts w:ascii="標楷體" w:eastAsia="標楷體" w:hAnsi="標楷體" w:cs="Times New Roman" w:hint="eastAsia"/>
                <w:szCs w:val="24"/>
              </w:rPr>
              <w:t>採</w:t>
            </w:r>
            <w:proofErr w:type="gramEnd"/>
            <w:r w:rsidRPr="00B37E19">
              <w:rPr>
                <w:rFonts w:ascii="標楷體" w:eastAsia="標楷體" w:hAnsi="標楷體" w:cs="Times New Roman" w:hint="eastAsia"/>
                <w:szCs w:val="24"/>
              </w:rPr>
              <w:t>行SPAN之期貨交易人，應具備下列資格條件之</w:t>
            </w:r>
            <w:proofErr w:type="gramStart"/>
            <w:r w:rsidRPr="00B37E19">
              <w:rPr>
                <w:rFonts w:ascii="標楷體" w:eastAsia="標楷體" w:hAnsi="標楷體" w:cs="Times New Roman" w:hint="eastAsia"/>
                <w:szCs w:val="24"/>
              </w:rPr>
              <w:t>一</w:t>
            </w:r>
            <w:proofErr w:type="gramEnd"/>
            <w:r w:rsidRPr="00B37E19">
              <w:rPr>
                <w:rFonts w:ascii="標楷體" w:eastAsia="標楷體" w:hAnsi="標楷體" w:cs="Times New Roman" w:hint="eastAsia"/>
                <w:szCs w:val="24"/>
              </w:rPr>
              <w:t>：</w:t>
            </w:r>
          </w:p>
          <w:p w:rsidR="00B37E19" w:rsidRPr="00B37E19" w:rsidRDefault="00B37E19" w:rsidP="00B37E19">
            <w:pPr>
              <w:autoSpaceDE w:val="0"/>
              <w:autoSpaceDN w:val="0"/>
              <w:adjustRightInd w:val="0"/>
              <w:spacing w:line="420" w:lineRule="exact"/>
              <w:jc w:val="both"/>
              <w:rPr>
                <w:rFonts w:ascii="標楷體" w:eastAsia="標楷體" w:hAnsi="標楷體" w:cs="Times New Roman"/>
                <w:szCs w:val="24"/>
              </w:rPr>
            </w:pPr>
            <w:r w:rsidRPr="00B37E19">
              <w:rPr>
                <w:rFonts w:ascii="標楷體" w:eastAsia="標楷體" w:hAnsi="標楷體" w:cs="Times New Roman" w:hint="eastAsia"/>
                <w:szCs w:val="24"/>
              </w:rPr>
              <w:t>一、主管機關依金融消費者保護法第四條第二項函令所定之專業投資機構。</w:t>
            </w:r>
          </w:p>
          <w:p w:rsidR="00B37E19" w:rsidRPr="00B37E19" w:rsidRDefault="00B37E19" w:rsidP="00F22244">
            <w:pPr>
              <w:autoSpaceDE w:val="0"/>
              <w:autoSpaceDN w:val="0"/>
              <w:adjustRightInd w:val="0"/>
              <w:spacing w:line="420" w:lineRule="exact"/>
              <w:ind w:left="480" w:hangingChars="200" w:hanging="480"/>
              <w:jc w:val="both"/>
              <w:rPr>
                <w:rFonts w:ascii="標楷體" w:eastAsia="標楷體" w:hAnsi="標楷體" w:cs="Times New Roman"/>
                <w:szCs w:val="24"/>
              </w:rPr>
            </w:pPr>
            <w:r w:rsidRPr="00B37E19">
              <w:rPr>
                <w:rFonts w:ascii="標楷體" w:eastAsia="標楷體" w:hAnsi="標楷體" w:cs="Times New Roman" w:hint="eastAsia"/>
                <w:szCs w:val="24"/>
              </w:rPr>
              <w:t>二、法人具國外期貨交易所會員</w:t>
            </w:r>
            <w:proofErr w:type="gramStart"/>
            <w:r w:rsidRPr="00B37E19">
              <w:rPr>
                <w:rFonts w:ascii="標楷體" w:eastAsia="標楷體" w:hAnsi="標楷體" w:cs="Times New Roman" w:hint="eastAsia"/>
                <w:szCs w:val="24"/>
              </w:rPr>
              <w:t>資格或造市</w:t>
            </w:r>
            <w:proofErr w:type="gramEnd"/>
            <w:r w:rsidRPr="00B37E19">
              <w:rPr>
                <w:rFonts w:ascii="標楷體" w:eastAsia="標楷體" w:hAnsi="標楷體" w:cs="Times New Roman" w:hint="eastAsia"/>
                <w:szCs w:val="24"/>
              </w:rPr>
              <w:t>資格，或為國外期貨交易所流動量提供者。</w:t>
            </w:r>
          </w:p>
          <w:p w:rsidR="005D1E2D" w:rsidRPr="005D1E2D" w:rsidRDefault="00B37E19" w:rsidP="00B37E19">
            <w:pPr>
              <w:autoSpaceDE w:val="0"/>
              <w:autoSpaceDN w:val="0"/>
              <w:adjustRightInd w:val="0"/>
              <w:spacing w:line="420" w:lineRule="exact"/>
              <w:jc w:val="both"/>
              <w:rPr>
                <w:rFonts w:ascii="標楷體" w:eastAsia="標楷體" w:hAnsi="標楷體" w:cs="Times New Roman"/>
                <w:szCs w:val="24"/>
              </w:rPr>
            </w:pPr>
            <w:r w:rsidRPr="00B37E19">
              <w:rPr>
                <w:rFonts w:ascii="標楷體" w:eastAsia="標楷體" w:hAnsi="標楷體" w:cs="Times New Roman" w:hint="eastAsia"/>
                <w:szCs w:val="24"/>
              </w:rPr>
              <w:t>前項第二款之國外期貨交易所，以主管機關依期貨交易法第五條公告期貨商得受託從事國外期貨交易之交易所為限。</w:t>
            </w:r>
          </w:p>
        </w:tc>
      </w:tr>
      <w:tr w:rsidR="005D1E2D" w:rsidRPr="005D1E2D" w:rsidTr="003829DB">
        <w:trPr>
          <w:trHeight w:val="120"/>
        </w:trPr>
        <w:tc>
          <w:tcPr>
            <w:tcW w:w="1101" w:type="dxa"/>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第四條</w:t>
            </w:r>
          </w:p>
        </w:tc>
        <w:tc>
          <w:tcPr>
            <w:tcW w:w="8572" w:type="dxa"/>
          </w:tcPr>
          <w:p w:rsidR="005D1E2D" w:rsidRPr="005D1E2D" w:rsidRDefault="005D1E2D" w:rsidP="00AB6D48">
            <w:pPr>
              <w:autoSpaceDE w:val="0"/>
              <w:autoSpaceDN w:val="0"/>
              <w:adjustRightInd w:val="0"/>
              <w:spacing w:line="420" w:lineRule="exact"/>
              <w:jc w:val="both"/>
              <w:rPr>
                <w:rFonts w:ascii="標楷體" w:eastAsia="標楷體" w:hAnsi="標楷體" w:cs="Times New Roman"/>
                <w:szCs w:val="24"/>
              </w:rPr>
            </w:pPr>
            <w:r w:rsidRPr="005D1E2D">
              <w:rPr>
                <w:rFonts w:ascii="標楷體" w:eastAsia="標楷體" w:hAnsi="標楷體" w:cs="Times New Roman" w:hint="eastAsia"/>
                <w:szCs w:val="24"/>
              </w:rPr>
              <w:t>本公會會員受託從事期貨交易對期貨交易人</w:t>
            </w:r>
            <w:proofErr w:type="gramStart"/>
            <w:r w:rsidRPr="005D1E2D">
              <w:rPr>
                <w:rFonts w:ascii="標楷體" w:eastAsia="標楷體" w:hAnsi="標楷體" w:cs="Times New Roman" w:hint="eastAsia"/>
                <w:szCs w:val="24"/>
              </w:rPr>
              <w:t>採</w:t>
            </w:r>
            <w:proofErr w:type="gramEnd"/>
            <w:r w:rsidRPr="005D1E2D">
              <w:rPr>
                <w:rFonts w:ascii="標楷體" w:eastAsia="標楷體" w:hAnsi="標楷體" w:cs="Times New Roman" w:hint="eastAsia"/>
                <w:szCs w:val="24"/>
              </w:rPr>
              <w:t>行</w:t>
            </w:r>
            <w:r w:rsidRPr="005D1E2D">
              <w:rPr>
                <w:rFonts w:ascii="標楷體" w:eastAsia="標楷體" w:hAnsi="標楷體" w:cs="Times New Roman"/>
                <w:szCs w:val="24"/>
              </w:rPr>
              <w:t>SPAN</w:t>
            </w:r>
            <w:r w:rsidRPr="005D1E2D">
              <w:rPr>
                <w:rFonts w:ascii="標楷體" w:eastAsia="標楷體" w:hAnsi="標楷體" w:cs="Times New Roman" w:hint="eastAsia"/>
                <w:szCs w:val="24"/>
              </w:rPr>
              <w:t>，應先與期貨交易人簽定約定書，載明「委託下單控管方式」、「保證金追繳」及相關權利義務等事項。</w:t>
            </w:r>
          </w:p>
        </w:tc>
      </w:tr>
      <w:tr w:rsidR="005D1E2D" w:rsidRPr="005D1E2D" w:rsidTr="003829DB">
        <w:trPr>
          <w:trHeight w:val="120"/>
        </w:trPr>
        <w:tc>
          <w:tcPr>
            <w:tcW w:w="1101" w:type="dxa"/>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第五條</w:t>
            </w:r>
          </w:p>
        </w:tc>
        <w:tc>
          <w:tcPr>
            <w:tcW w:w="8572" w:type="dxa"/>
          </w:tcPr>
          <w:p w:rsidR="005D1E2D" w:rsidRPr="005D1E2D" w:rsidRDefault="005D1E2D" w:rsidP="00AB6D48">
            <w:pPr>
              <w:autoSpaceDE w:val="0"/>
              <w:autoSpaceDN w:val="0"/>
              <w:adjustRightInd w:val="0"/>
              <w:spacing w:line="420" w:lineRule="exact"/>
              <w:jc w:val="both"/>
              <w:rPr>
                <w:rFonts w:ascii="標楷體" w:eastAsia="標楷體" w:hAnsi="標楷體" w:cs="Times New Roman"/>
                <w:szCs w:val="24"/>
              </w:rPr>
            </w:pPr>
            <w:r w:rsidRPr="005D1E2D">
              <w:rPr>
                <w:rFonts w:ascii="標楷體" w:eastAsia="標楷體" w:hAnsi="標楷體" w:cs="Times New Roman" w:hint="eastAsia"/>
                <w:szCs w:val="24"/>
              </w:rPr>
              <w:t>本公會會員受託從事期貨交易對交易人</w:t>
            </w:r>
            <w:proofErr w:type="gramStart"/>
            <w:r w:rsidRPr="005D1E2D">
              <w:rPr>
                <w:rFonts w:ascii="標楷體" w:eastAsia="標楷體" w:hAnsi="標楷體" w:cs="Times New Roman" w:hint="eastAsia"/>
                <w:szCs w:val="24"/>
              </w:rPr>
              <w:t>採</w:t>
            </w:r>
            <w:proofErr w:type="gramEnd"/>
            <w:r w:rsidRPr="005D1E2D">
              <w:rPr>
                <w:rFonts w:ascii="標楷體" w:eastAsia="標楷體" w:hAnsi="標楷體" w:cs="Times New Roman" w:hint="eastAsia"/>
                <w:szCs w:val="24"/>
              </w:rPr>
              <w:t>行</w:t>
            </w:r>
            <w:r w:rsidRPr="005D1E2D">
              <w:rPr>
                <w:rFonts w:ascii="標楷體" w:eastAsia="標楷體" w:hAnsi="標楷體" w:cs="Times New Roman"/>
                <w:szCs w:val="24"/>
              </w:rPr>
              <w:t>SPAN</w:t>
            </w:r>
            <w:r w:rsidRPr="005D1E2D">
              <w:rPr>
                <w:rFonts w:ascii="標楷體" w:eastAsia="標楷體" w:hAnsi="標楷體" w:cs="Times New Roman" w:hint="eastAsia"/>
                <w:szCs w:val="24"/>
              </w:rPr>
              <w:t>，應依臺灣期貨交易所(以下簡稱期交所)以策略基礎制度計算之原始保證金數額向期貨交易人收足，始得接受期貨交易之委託。對交易人收取之未沖銷部位所需保證金數額不得低於以</w:t>
            </w:r>
            <w:r w:rsidRPr="005D1E2D">
              <w:rPr>
                <w:rFonts w:ascii="標楷體" w:eastAsia="標楷體" w:hAnsi="標楷體" w:cs="Times New Roman"/>
                <w:szCs w:val="24"/>
              </w:rPr>
              <w:t>SPAN</w:t>
            </w:r>
            <w:r w:rsidRPr="005D1E2D">
              <w:rPr>
                <w:rFonts w:ascii="標楷體" w:eastAsia="標楷體" w:hAnsi="標楷體" w:cs="Times New Roman" w:hint="eastAsia"/>
                <w:szCs w:val="24"/>
              </w:rPr>
              <w:t>計算之原始保證金數額。</w:t>
            </w:r>
            <w:r w:rsidRPr="005D1E2D">
              <w:rPr>
                <w:rFonts w:ascii="標楷體" w:eastAsia="標楷體" w:hAnsi="標楷體" w:cs="Times New Roman"/>
                <w:szCs w:val="24"/>
              </w:rPr>
              <w:t xml:space="preserve"> </w:t>
            </w:r>
          </w:p>
        </w:tc>
      </w:tr>
      <w:tr w:rsidR="005D1E2D" w:rsidRPr="005D1E2D" w:rsidTr="003829DB">
        <w:trPr>
          <w:trHeight w:val="120"/>
        </w:trPr>
        <w:tc>
          <w:tcPr>
            <w:tcW w:w="1101" w:type="dxa"/>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第六條</w:t>
            </w:r>
          </w:p>
        </w:tc>
        <w:tc>
          <w:tcPr>
            <w:tcW w:w="8572" w:type="dxa"/>
          </w:tcPr>
          <w:p w:rsidR="005D1E2D" w:rsidRPr="005D1E2D" w:rsidRDefault="005D1E2D" w:rsidP="00AB6D48">
            <w:pPr>
              <w:autoSpaceDE w:val="0"/>
              <w:autoSpaceDN w:val="0"/>
              <w:adjustRightInd w:val="0"/>
              <w:spacing w:line="420" w:lineRule="exact"/>
              <w:jc w:val="both"/>
              <w:rPr>
                <w:rFonts w:ascii="標楷體" w:eastAsia="標楷體" w:hAnsi="標楷體" w:cs="Times New Roman"/>
                <w:szCs w:val="24"/>
              </w:rPr>
            </w:pPr>
            <w:r w:rsidRPr="005D1E2D">
              <w:rPr>
                <w:rFonts w:ascii="標楷體" w:eastAsia="標楷體" w:hAnsi="標楷體" w:cs="Times New Roman" w:hint="eastAsia"/>
                <w:szCs w:val="24"/>
              </w:rPr>
              <w:t>本公會會員與期貨交易人簽定約定書，應提醒期貨交易人下列事項：</w:t>
            </w:r>
            <w:r w:rsidRPr="005D1E2D">
              <w:rPr>
                <w:rFonts w:ascii="標楷體" w:eastAsia="標楷體" w:hAnsi="標楷體" w:cs="Times New Roman"/>
                <w:szCs w:val="24"/>
              </w:rPr>
              <w:t xml:space="preserve"> </w:t>
            </w:r>
          </w:p>
          <w:p w:rsidR="005D1E2D" w:rsidRPr="005D1E2D" w:rsidRDefault="005D1E2D" w:rsidP="00AB6D48">
            <w:pPr>
              <w:autoSpaceDE w:val="0"/>
              <w:autoSpaceDN w:val="0"/>
              <w:adjustRightInd w:val="0"/>
              <w:spacing w:line="420" w:lineRule="exact"/>
              <w:ind w:left="480" w:hangingChars="200" w:hanging="480"/>
              <w:jc w:val="both"/>
              <w:rPr>
                <w:rFonts w:ascii="標楷體" w:eastAsia="標楷體" w:hAnsi="標楷體" w:cs="Times New Roman"/>
                <w:szCs w:val="24"/>
              </w:rPr>
            </w:pPr>
            <w:r w:rsidRPr="005D1E2D">
              <w:rPr>
                <w:rFonts w:ascii="標楷體" w:eastAsia="標楷體" w:hAnsi="標楷體" w:cs="Times New Roman" w:hint="eastAsia"/>
                <w:szCs w:val="24"/>
              </w:rPr>
              <w:t>一、期貨交易人未沖銷部位所需之保證金數額不得低於以</w:t>
            </w:r>
            <w:r w:rsidRPr="005D1E2D">
              <w:rPr>
                <w:rFonts w:ascii="標楷體" w:eastAsia="標楷體" w:hAnsi="標楷體" w:cs="Times New Roman"/>
                <w:szCs w:val="24"/>
              </w:rPr>
              <w:t>SPAN</w:t>
            </w:r>
            <w:r w:rsidRPr="005D1E2D">
              <w:rPr>
                <w:rFonts w:ascii="標楷體" w:eastAsia="標楷體" w:hAnsi="標楷體" w:cs="Times New Roman" w:hint="eastAsia"/>
                <w:szCs w:val="24"/>
              </w:rPr>
              <w:t>計算之原始保 證金數額。</w:t>
            </w:r>
            <w:r w:rsidRPr="005D1E2D">
              <w:rPr>
                <w:rFonts w:ascii="標楷體" w:eastAsia="標楷體" w:hAnsi="標楷體" w:cs="Times New Roman"/>
                <w:szCs w:val="24"/>
              </w:rPr>
              <w:t xml:space="preserve"> </w:t>
            </w:r>
          </w:p>
          <w:p w:rsidR="005D1E2D" w:rsidRPr="005D1E2D" w:rsidRDefault="005D1E2D" w:rsidP="00AB6D48">
            <w:pPr>
              <w:autoSpaceDE w:val="0"/>
              <w:autoSpaceDN w:val="0"/>
              <w:adjustRightInd w:val="0"/>
              <w:spacing w:line="420" w:lineRule="exact"/>
              <w:ind w:left="480" w:hangingChars="200" w:hanging="480"/>
              <w:jc w:val="both"/>
              <w:rPr>
                <w:rFonts w:ascii="標楷體" w:eastAsia="標楷體" w:hAnsi="標楷體" w:cs="Times New Roman"/>
                <w:szCs w:val="24"/>
              </w:rPr>
            </w:pPr>
            <w:r w:rsidRPr="005D1E2D">
              <w:rPr>
                <w:rFonts w:ascii="標楷體" w:eastAsia="標楷體" w:hAnsi="標楷體" w:cs="Times New Roman" w:hint="eastAsia"/>
                <w:szCs w:val="24"/>
              </w:rPr>
              <w:t>二、在大部分情況下，以</w:t>
            </w:r>
            <w:r w:rsidRPr="005D1E2D">
              <w:rPr>
                <w:rFonts w:ascii="標楷體" w:eastAsia="標楷體" w:hAnsi="標楷體" w:cs="Times New Roman"/>
                <w:szCs w:val="24"/>
              </w:rPr>
              <w:t>SPAN</w:t>
            </w:r>
            <w:r w:rsidRPr="005D1E2D">
              <w:rPr>
                <w:rFonts w:ascii="標楷體" w:eastAsia="標楷體" w:hAnsi="標楷體" w:cs="Times New Roman" w:hint="eastAsia"/>
                <w:szCs w:val="24"/>
              </w:rPr>
              <w:t>計算之保證金低於以策略基礎計算之保證金，惟仍有少部分情況，前者計算之保證金將略高於後者計算之保證金，此係合理反映部分風險所致。</w:t>
            </w:r>
            <w:r w:rsidRPr="005D1E2D">
              <w:rPr>
                <w:rFonts w:ascii="標楷體" w:eastAsia="標楷體" w:hAnsi="標楷體" w:cs="Times New Roman"/>
                <w:szCs w:val="24"/>
              </w:rPr>
              <w:t xml:space="preserve"> </w:t>
            </w:r>
          </w:p>
          <w:p w:rsidR="005D1E2D" w:rsidRPr="005D1E2D" w:rsidRDefault="005D1E2D" w:rsidP="00AB6D48">
            <w:pPr>
              <w:autoSpaceDE w:val="0"/>
              <w:autoSpaceDN w:val="0"/>
              <w:adjustRightInd w:val="0"/>
              <w:spacing w:line="420" w:lineRule="exact"/>
              <w:ind w:left="480" w:hangingChars="200" w:hanging="480"/>
              <w:jc w:val="both"/>
              <w:rPr>
                <w:rFonts w:ascii="標楷體" w:eastAsia="標楷體" w:hAnsi="標楷體" w:cs="Times New Roman"/>
                <w:szCs w:val="24"/>
              </w:rPr>
            </w:pPr>
            <w:r w:rsidRPr="005D1E2D">
              <w:rPr>
                <w:rFonts w:ascii="標楷體" w:eastAsia="標楷體" w:hAnsi="標楷體" w:cs="Times New Roman" w:hint="eastAsia"/>
                <w:szCs w:val="24"/>
              </w:rPr>
              <w:t>三、期貨交易人之未沖銷部位可形成跨商品或跨月組合者，當一部分部位因了結或到期而不再形成組合部位，將可能發生所需保證金增加或追繳之情形。</w:t>
            </w:r>
            <w:r w:rsidRPr="005D1E2D">
              <w:rPr>
                <w:rFonts w:ascii="標楷體" w:eastAsia="標楷體" w:hAnsi="標楷體" w:cs="Times New Roman"/>
                <w:szCs w:val="24"/>
              </w:rPr>
              <w:t xml:space="preserve"> </w:t>
            </w:r>
          </w:p>
          <w:p w:rsidR="005D1E2D" w:rsidRPr="005D1E2D" w:rsidRDefault="005D1E2D" w:rsidP="00AB6D48">
            <w:pPr>
              <w:autoSpaceDE w:val="0"/>
              <w:autoSpaceDN w:val="0"/>
              <w:adjustRightInd w:val="0"/>
              <w:spacing w:line="420" w:lineRule="exact"/>
              <w:ind w:left="480" w:hangingChars="200" w:hanging="480"/>
              <w:jc w:val="both"/>
              <w:rPr>
                <w:rFonts w:ascii="標楷體" w:eastAsia="標楷體" w:hAnsi="標楷體" w:cs="Times New Roman"/>
                <w:szCs w:val="24"/>
              </w:rPr>
            </w:pPr>
            <w:r w:rsidRPr="005D1E2D">
              <w:rPr>
                <w:rFonts w:ascii="標楷體" w:eastAsia="標楷體" w:hAnsi="標楷體" w:cs="Times New Roman" w:hint="eastAsia"/>
                <w:szCs w:val="24"/>
              </w:rPr>
              <w:t>四、期貨交易人之當日沖銷交易部位，應依期交所公告之期貨契約當日沖銷交易保證金計收標準計收保證金，其盤中當日沖銷交易之未沖銷部位，</w:t>
            </w:r>
            <w:proofErr w:type="gramStart"/>
            <w:r w:rsidRPr="005D1E2D">
              <w:rPr>
                <w:rFonts w:ascii="標楷體" w:eastAsia="標楷體" w:hAnsi="標楷體" w:cs="Times New Roman" w:hint="eastAsia"/>
                <w:szCs w:val="24"/>
              </w:rPr>
              <w:t>不</w:t>
            </w:r>
            <w:proofErr w:type="gramEnd"/>
            <w:r w:rsidRPr="005D1E2D">
              <w:rPr>
                <w:rFonts w:ascii="標楷體" w:eastAsia="標楷體" w:hAnsi="標楷體" w:cs="Times New Roman" w:hint="eastAsia"/>
                <w:szCs w:val="24"/>
              </w:rPr>
              <w:t>併入一般非當日沖銷交易之未沖銷部位以</w:t>
            </w:r>
            <w:r w:rsidRPr="005D1E2D">
              <w:rPr>
                <w:rFonts w:ascii="標楷體" w:eastAsia="標楷體" w:hAnsi="標楷體" w:cs="Times New Roman"/>
                <w:szCs w:val="24"/>
              </w:rPr>
              <w:t>SPAN</w:t>
            </w:r>
            <w:r w:rsidRPr="005D1E2D">
              <w:rPr>
                <w:rFonts w:ascii="標楷體" w:eastAsia="標楷體" w:hAnsi="標楷體" w:cs="Times New Roman" w:hint="eastAsia"/>
                <w:szCs w:val="24"/>
              </w:rPr>
              <w:t>計算保證金。</w:t>
            </w:r>
          </w:p>
        </w:tc>
      </w:tr>
      <w:tr w:rsidR="005D1E2D" w:rsidRPr="005D1E2D" w:rsidTr="003829DB">
        <w:trPr>
          <w:trHeight w:val="120"/>
        </w:trPr>
        <w:tc>
          <w:tcPr>
            <w:tcW w:w="1101" w:type="dxa"/>
            <w:vAlign w:val="center"/>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第七條</w:t>
            </w:r>
          </w:p>
        </w:tc>
        <w:tc>
          <w:tcPr>
            <w:tcW w:w="8572" w:type="dxa"/>
            <w:vAlign w:val="center"/>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期貨交易人權益數低於以</w:t>
            </w:r>
            <w:r w:rsidRPr="005D1E2D">
              <w:rPr>
                <w:rFonts w:ascii="標楷體" w:eastAsia="標楷體" w:hAnsi="標楷體" w:cs="Times New Roman"/>
                <w:szCs w:val="24"/>
              </w:rPr>
              <w:t>SPAN</w:t>
            </w:r>
            <w:r w:rsidRPr="005D1E2D">
              <w:rPr>
                <w:rFonts w:ascii="標楷體" w:eastAsia="標楷體" w:hAnsi="標楷體" w:cs="Times New Roman" w:hint="eastAsia"/>
                <w:szCs w:val="24"/>
              </w:rPr>
              <w:t>所計算之維持保證金數額者，本公會會員應依雙方簽定之受託契約、</w:t>
            </w:r>
            <w:r w:rsidRPr="005D1E2D">
              <w:rPr>
                <w:rFonts w:ascii="標楷體" w:eastAsia="標楷體" w:hAnsi="標楷體" w:cs="Times New Roman"/>
                <w:szCs w:val="24"/>
              </w:rPr>
              <w:t>SPAN</w:t>
            </w:r>
            <w:r w:rsidRPr="005D1E2D">
              <w:rPr>
                <w:rFonts w:ascii="標楷體" w:eastAsia="標楷體" w:hAnsi="標楷體" w:cs="Times New Roman" w:hint="eastAsia"/>
                <w:szCs w:val="24"/>
              </w:rPr>
              <w:t>約定書及期交所有關保證金追繳之規定通知期貨交易人。</w:t>
            </w:r>
          </w:p>
        </w:tc>
      </w:tr>
      <w:tr w:rsidR="005D1E2D" w:rsidRPr="005D1E2D" w:rsidTr="003829DB">
        <w:trPr>
          <w:trHeight w:val="120"/>
        </w:trPr>
        <w:tc>
          <w:tcPr>
            <w:tcW w:w="1101" w:type="dxa"/>
          </w:tcPr>
          <w:p w:rsidR="005D1E2D" w:rsidRPr="005D1E2D" w:rsidRDefault="005D1E2D" w:rsidP="00AB6D48">
            <w:pPr>
              <w:autoSpaceDE w:val="0"/>
              <w:autoSpaceDN w:val="0"/>
              <w:adjustRightInd w:val="0"/>
              <w:spacing w:line="420" w:lineRule="exact"/>
              <w:jc w:val="center"/>
              <w:rPr>
                <w:rFonts w:ascii="標楷體" w:eastAsia="標楷體" w:hAnsi="標楷體" w:cs="Times New Roman"/>
                <w:szCs w:val="24"/>
              </w:rPr>
            </w:pPr>
            <w:r w:rsidRPr="005D1E2D">
              <w:rPr>
                <w:rFonts w:ascii="標楷體" w:eastAsia="標楷體" w:hAnsi="標楷體" w:cs="Times New Roman" w:hint="eastAsia"/>
                <w:szCs w:val="24"/>
              </w:rPr>
              <w:t>第八條</w:t>
            </w:r>
          </w:p>
        </w:tc>
        <w:tc>
          <w:tcPr>
            <w:tcW w:w="8572" w:type="dxa"/>
          </w:tcPr>
          <w:p w:rsidR="005D1E2D" w:rsidRPr="005D1E2D" w:rsidRDefault="005D1E2D" w:rsidP="00AB6D48">
            <w:pPr>
              <w:autoSpaceDE w:val="0"/>
              <w:autoSpaceDN w:val="0"/>
              <w:adjustRightInd w:val="0"/>
              <w:spacing w:line="420" w:lineRule="exact"/>
              <w:jc w:val="both"/>
              <w:rPr>
                <w:rFonts w:ascii="標楷體" w:eastAsia="標楷體" w:hAnsi="標楷體" w:cs="Times New Roman"/>
                <w:szCs w:val="24"/>
              </w:rPr>
            </w:pPr>
            <w:r w:rsidRPr="005D1E2D">
              <w:rPr>
                <w:rFonts w:ascii="標楷體" w:eastAsia="標楷體" w:hAnsi="標楷體" w:cs="Times New Roman" w:hint="eastAsia"/>
                <w:szCs w:val="24"/>
              </w:rPr>
              <w:t>本規則經理監事聯席會議通過並陳報目的事業主管機關備查後公告施行，修正時亦同。</w:t>
            </w:r>
          </w:p>
        </w:tc>
      </w:tr>
    </w:tbl>
    <w:p w:rsidR="00DA0D68" w:rsidRPr="005D1E2D" w:rsidRDefault="00DA0D68" w:rsidP="00AB6D48">
      <w:pPr>
        <w:spacing w:line="420" w:lineRule="exact"/>
        <w:jc w:val="center"/>
      </w:pPr>
    </w:p>
    <w:sectPr w:rsidR="00DA0D68" w:rsidRPr="005D1E2D" w:rsidSect="002D49D1">
      <w:footerReference w:type="default" r:id="rId8"/>
      <w:pgSz w:w="11906" w:h="16838"/>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3A" w:rsidRDefault="001B2B3A" w:rsidP="005D1E2D">
      <w:r>
        <w:separator/>
      </w:r>
    </w:p>
  </w:endnote>
  <w:endnote w:type="continuationSeparator" w:id="0">
    <w:p w:rsidR="001B2B3A" w:rsidRDefault="001B2B3A" w:rsidP="005D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分.">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02149"/>
      <w:docPartObj>
        <w:docPartGallery w:val="Page Numbers (Bottom of Page)"/>
        <w:docPartUnique/>
      </w:docPartObj>
    </w:sdtPr>
    <w:sdtEndPr/>
    <w:sdtContent>
      <w:sdt>
        <w:sdtPr>
          <w:rPr>
            <w:rFonts w:hint="eastAsia"/>
          </w:rPr>
          <w:id w:val="70317734"/>
          <w:docPartObj>
            <w:docPartGallery w:val="Page Numbers (Bottom of Page)"/>
            <w:docPartUnique/>
          </w:docPartObj>
        </w:sdtPr>
        <w:sdtEndPr/>
        <w:sdtContent>
          <w:p w:rsidR="008B6052" w:rsidRDefault="008B6052" w:rsidP="008B6052">
            <w:pPr>
              <w:pStyle w:val="a5"/>
              <w:jc w:val="center"/>
              <w:rPr>
                <w:rFonts w:ascii="標楷體" w:eastAsia="標楷體" w:hAnsi="標楷體"/>
                <w:kern w:val="0"/>
              </w:rPr>
            </w:pPr>
            <w:r>
              <w:rPr>
                <w:rFonts w:ascii="標楷體" w:eastAsia="標楷體" w:hAnsi="標楷體" w:hint="eastAsia"/>
                <w:kern w:val="0"/>
              </w:rPr>
              <w:t xml:space="preserve">第 </w:t>
            </w:r>
            <w:r>
              <w:rPr>
                <w:rFonts w:ascii="標楷體" w:eastAsia="標楷體" w:hAnsi="標楷體" w:hint="eastAsia"/>
                <w:kern w:val="0"/>
              </w:rPr>
              <w:fldChar w:fldCharType="begin"/>
            </w:r>
            <w:r>
              <w:rPr>
                <w:rFonts w:ascii="標楷體" w:eastAsia="標楷體" w:hAnsi="標楷體" w:hint="eastAsia"/>
                <w:kern w:val="0"/>
              </w:rPr>
              <w:instrText xml:space="preserve"> PAGE </w:instrText>
            </w:r>
            <w:r>
              <w:rPr>
                <w:rFonts w:ascii="標楷體" w:eastAsia="標楷體" w:hAnsi="標楷體" w:hint="eastAsia"/>
                <w:kern w:val="0"/>
              </w:rPr>
              <w:fldChar w:fldCharType="separate"/>
            </w:r>
            <w:r w:rsidR="00611713">
              <w:rPr>
                <w:rFonts w:ascii="標楷體" w:eastAsia="標楷體" w:hAnsi="標楷體"/>
                <w:noProof/>
                <w:kern w:val="0"/>
              </w:rPr>
              <w:t>1</w:t>
            </w:r>
            <w:r>
              <w:rPr>
                <w:rFonts w:ascii="標楷體" w:eastAsia="標楷體" w:hAnsi="標楷體" w:hint="eastAsia"/>
                <w:kern w:val="0"/>
              </w:rPr>
              <w:fldChar w:fldCharType="end"/>
            </w:r>
            <w:r>
              <w:rPr>
                <w:rFonts w:ascii="標楷體" w:eastAsia="標楷體" w:hAnsi="標楷體" w:hint="eastAsia"/>
                <w:kern w:val="0"/>
              </w:rPr>
              <w:t xml:space="preserve"> 頁，共 </w:t>
            </w:r>
            <w:r>
              <w:rPr>
                <w:rFonts w:ascii="標楷體" w:eastAsia="標楷體" w:hAnsi="標楷體" w:hint="eastAsia"/>
                <w:kern w:val="0"/>
              </w:rPr>
              <w:fldChar w:fldCharType="begin"/>
            </w:r>
            <w:r>
              <w:rPr>
                <w:rFonts w:ascii="標楷體" w:eastAsia="標楷體" w:hAnsi="標楷體" w:hint="eastAsia"/>
                <w:kern w:val="0"/>
              </w:rPr>
              <w:instrText xml:space="preserve"> NUMPAGES </w:instrText>
            </w:r>
            <w:r>
              <w:rPr>
                <w:rFonts w:ascii="標楷體" w:eastAsia="標楷體" w:hAnsi="標楷體" w:hint="eastAsia"/>
                <w:kern w:val="0"/>
              </w:rPr>
              <w:fldChar w:fldCharType="separate"/>
            </w:r>
            <w:r w:rsidR="00611713">
              <w:rPr>
                <w:rFonts w:ascii="標楷體" w:eastAsia="標楷體" w:hAnsi="標楷體"/>
                <w:noProof/>
                <w:kern w:val="0"/>
              </w:rPr>
              <w:t>1</w:t>
            </w:r>
            <w:r>
              <w:rPr>
                <w:rFonts w:ascii="標楷體" w:eastAsia="標楷體" w:hAnsi="標楷體" w:hint="eastAsia"/>
                <w:kern w:val="0"/>
              </w:rPr>
              <w:fldChar w:fldCharType="end"/>
            </w:r>
            <w:r>
              <w:rPr>
                <w:rFonts w:ascii="標楷體" w:eastAsia="標楷體" w:hAnsi="標楷體" w:hint="eastAsia"/>
                <w:kern w:val="0"/>
              </w:rPr>
              <w:t xml:space="preserve"> 頁</w:t>
            </w:r>
          </w:p>
        </w:sdtContent>
      </w:sdt>
      <w:p w:rsidR="008B6052" w:rsidRDefault="001B2B3A">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3A" w:rsidRDefault="001B2B3A" w:rsidP="005D1E2D">
      <w:r>
        <w:separator/>
      </w:r>
    </w:p>
  </w:footnote>
  <w:footnote w:type="continuationSeparator" w:id="0">
    <w:p w:rsidR="001B2B3A" w:rsidRDefault="001B2B3A" w:rsidP="005D1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2D"/>
    <w:rsid w:val="000826BC"/>
    <w:rsid w:val="00097396"/>
    <w:rsid w:val="000C3DCD"/>
    <w:rsid w:val="000E0CB7"/>
    <w:rsid w:val="00107AFA"/>
    <w:rsid w:val="001B2B3A"/>
    <w:rsid w:val="002140D6"/>
    <w:rsid w:val="00217F28"/>
    <w:rsid w:val="0027600A"/>
    <w:rsid w:val="002D49D1"/>
    <w:rsid w:val="003331DE"/>
    <w:rsid w:val="00346AEF"/>
    <w:rsid w:val="003642FE"/>
    <w:rsid w:val="00510C2F"/>
    <w:rsid w:val="00527445"/>
    <w:rsid w:val="005A663E"/>
    <w:rsid w:val="005C3D17"/>
    <w:rsid w:val="005D1E2D"/>
    <w:rsid w:val="006027F4"/>
    <w:rsid w:val="006028FF"/>
    <w:rsid w:val="00611713"/>
    <w:rsid w:val="006517DC"/>
    <w:rsid w:val="006D3822"/>
    <w:rsid w:val="00730F06"/>
    <w:rsid w:val="00737C64"/>
    <w:rsid w:val="008363C2"/>
    <w:rsid w:val="00845A88"/>
    <w:rsid w:val="00864C4B"/>
    <w:rsid w:val="008B535C"/>
    <w:rsid w:val="008B6052"/>
    <w:rsid w:val="008F69F2"/>
    <w:rsid w:val="00903802"/>
    <w:rsid w:val="00945FAF"/>
    <w:rsid w:val="009C2D9D"/>
    <w:rsid w:val="00A602CF"/>
    <w:rsid w:val="00A658F5"/>
    <w:rsid w:val="00AB6D48"/>
    <w:rsid w:val="00B0638D"/>
    <w:rsid w:val="00B152BD"/>
    <w:rsid w:val="00B37E19"/>
    <w:rsid w:val="00B40772"/>
    <w:rsid w:val="00B9516C"/>
    <w:rsid w:val="00C24CA1"/>
    <w:rsid w:val="00CA5F82"/>
    <w:rsid w:val="00CD0063"/>
    <w:rsid w:val="00CE5518"/>
    <w:rsid w:val="00D9095D"/>
    <w:rsid w:val="00DA0D68"/>
    <w:rsid w:val="00DC0187"/>
    <w:rsid w:val="00DC06DE"/>
    <w:rsid w:val="00E3255F"/>
    <w:rsid w:val="00E4341F"/>
    <w:rsid w:val="00E601B6"/>
    <w:rsid w:val="00E61FED"/>
    <w:rsid w:val="00E67E6A"/>
    <w:rsid w:val="00EA629A"/>
    <w:rsid w:val="00F16006"/>
    <w:rsid w:val="00F22244"/>
    <w:rsid w:val="00F52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E2D"/>
    <w:pPr>
      <w:tabs>
        <w:tab w:val="center" w:pos="4153"/>
        <w:tab w:val="right" w:pos="8306"/>
      </w:tabs>
      <w:snapToGrid w:val="0"/>
    </w:pPr>
    <w:rPr>
      <w:sz w:val="20"/>
      <w:szCs w:val="20"/>
    </w:rPr>
  </w:style>
  <w:style w:type="character" w:customStyle="1" w:styleId="a4">
    <w:name w:val="頁首 字元"/>
    <w:basedOn w:val="a0"/>
    <w:link w:val="a3"/>
    <w:uiPriority w:val="99"/>
    <w:rsid w:val="005D1E2D"/>
    <w:rPr>
      <w:sz w:val="20"/>
      <w:szCs w:val="20"/>
    </w:rPr>
  </w:style>
  <w:style w:type="paragraph" w:styleId="a5">
    <w:name w:val="footer"/>
    <w:basedOn w:val="a"/>
    <w:link w:val="a6"/>
    <w:uiPriority w:val="99"/>
    <w:unhideWhenUsed/>
    <w:rsid w:val="005D1E2D"/>
    <w:pPr>
      <w:tabs>
        <w:tab w:val="center" w:pos="4153"/>
        <w:tab w:val="right" w:pos="8306"/>
      </w:tabs>
      <w:snapToGrid w:val="0"/>
    </w:pPr>
    <w:rPr>
      <w:sz w:val="20"/>
      <w:szCs w:val="20"/>
    </w:rPr>
  </w:style>
  <w:style w:type="character" w:customStyle="1" w:styleId="a6">
    <w:name w:val="頁尾 字元"/>
    <w:basedOn w:val="a0"/>
    <w:link w:val="a5"/>
    <w:uiPriority w:val="99"/>
    <w:rsid w:val="005D1E2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E2D"/>
    <w:pPr>
      <w:tabs>
        <w:tab w:val="center" w:pos="4153"/>
        <w:tab w:val="right" w:pos="8306"/>
      </w:tabs>
      <w:snapToGrid w:val="0"/>
    </w:pPr>
    <w:rPr>
      <w:sz w:val="20"/>
      <w:szCs w:val="20"/>
    </w:rPr>
  </w:style>
  <w:style w:type="character" w:customStyle="1" w:styleId="a4">
    <w:name w:val="頁首 字元"/>
    <w:basedOn w:val="a0"/>
    <w:link w:val="a3"/>
    <w:uiPriority w:val="99"/>
    <w:rsid w:val="005D1E2D"/>
    <w:rPr>
      <w:sz w:val="20"/>
      <w:szCs w:val="20"/>
    </w:rPr>
  </w:style>
  <w:style w:type="paragraph" w:styleId="a5">
    <w:name w:val="footer"/>
    <w:basedOn w:val="a"/>
    <w:link w:val="a6"/>
    <w:uiPriority w:val="99"/>
    <w:unhideWhenUsed/>
    <w:rsid w:val="005D1E2D"/>
    <w:pPr>
      <w:tabs>
        <w:tab w:val="center" w:pos="4153"/>
        <w:tab w:val="right" w:pos="8306"/>
      </w:tabs>
      <w:snapToGrid w:val="0"/>
    </w:pPr>
    <w:rPr>
      <w:sz w:val="20"/>
      <w:szCs w:val="20"/>
    </w:rPr>
  </w:style>
  <w:style w:type="character" w:customStyle="1" w:styleId="a6">
    <w:name w:val="頁尾 字元"/>
    <w:basedOn w:val="a0"/>
    <w:link w:val="a5"/>
    <w:uiPriority w:val="99"/>
    <w:rsid w:val="005D1E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AAF6-273E-4D9C-8AEF-D611F6A2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謝美惠</dc:creator>
  <cp:lastModifiedBy>謝美惠</cp:lastModifiedBy>
  <cp:revision>2</cp:revision>
  <cp:lastPrinted>2018-05-18T02:50:00Z</cp:lastPrinted>
  <dcterms:created xsi:type="dcterms:W3CDTF">2018-08-27T03:48:00Z</dcterms:created>
  <dcterms:modified xsi:type="dcterms:W3CDTF">2018-08-27T03:48:00Z</dcterms:modified>
</cp:coreProperties>
</file>