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989" w:rsidRPr="00E952AE" w:rsidRDefault="00F90989" w:rsidP="00E952AE">
      <w:pPr>
        <w:pStyle w:val="a3"/>
        <w:snapToGrid w:val="0"/>
        <w:spacing w:line="480" w:lineRule="exact"/>
        <w:ind w:rightChars="18" w:right="43"/>
        <w:jc w:val="center"/>
        <w:rPr>
          <w:rFonts w:ascii="標楷體" w:eastAsia="標楷體" w:hAnsi="標楷體"/>
          <w:b/>
          <w:bCs/>
          <w:color w:val="0D0D0D"/>
          <w:spacing w:val="30"/>
          <w:sz w:val="28"/>
          <w:szCs w:val="28"/>
        </w:rPr>
      </w:pPr>
      <w:bookmarkStart w:id="0" w:name="_GoBack"/>
      <w:bookmarkEnd w:id="0"/>
      <w:r>
        <w:rPr>
          <w:rFonts w:ascii="標楷體" w:eastAsia="標楷體" w:hAnsi="標楷體" w:hint="eastAsia"/>
          <w:b/>
          <w:bCs/>
          <w:color w:val="0D0D0D"/>
          <w:spacing w:val="30"/>
          <w:sz w:val="28"/>
          <w:szCs w:val="28"/>
        </w:rPr>
        <w:t>期貨商</w:t>
      </w:r>
      <w:r w:rsidRPr="00E952AE">
        <w:rPr>
          <w:rFonts w:ascii="標楷體" w:eastAsia="標楷體" w:hAnsi="標楷體" w:hint="eastAsia"/>
          <w:b/>
          <w:bCs/>
          <w:color w:val="0D0D0D"/>
          <w:spacing w:val="30"/>
          <w:sz w:val="28"/>
          <w:szCs w:val="28"/>
        </w:rPr>
        <w:t>洗錢及資助恐怖主義風險防制計畫執行方法之建議</w:t>
      </w:r>
    </w:p>
    <w:p w:rsidR="00F90989" w:rsidRPr="00E952AE" w:rsidRDefault="00F90989" w:rsidP="00E952AE">
      <w:pPr>
        <w:pStyle w:val="a3"/>
        <w:snapToGrid w:val="0"/>
        <w:spacing w:line="480" w:lineRule="exact"/>
        <w:ind w:rightChars="18" w:right="43"/>
        <w:jc w:val="center"/>
        <w:rPr>
          <w:rFonts w:ascii="標楷體" w:eastAsia="標楷體" w:hAnsi="標楷體"/>
          <w:bCs/>
          <w:color w:val="0D0D0D"/>
          <w:spacing w:val="30"/>
          <w:sz w:val="28"/>
          <w:szCs w:val="28"/>
        </w:rPr>
      </w:pPr>
      <w:r w:rsidRPr="00E952AE">
        <w:rPr>
          <w:rFonts w:ascii="標楷體" w:eastAsia="標楷體" w:hAnsi="標楷體" w:hint="eastAsia"/>
          <w:b/>
          <w:bCs/>
          <w:color w:val="0D0D0D"/>
          <w:spacing w:val="30"/>
          <w:sz w:val="28"/>
          <w:szCs w:val="28"/>
        </w:rPr>
        <w:t>參考方案</w:t>
      </w:r>
    </w:p>
    <w:p w:rsidR="00F90989" w:rsidRPr="00E952AE" w:rsidRDefault="00F90989" w:rsidP="00E952AE">
      <w:pPr>
        <w:pStyle w:val="a3"/>
        <w:snapToGrid w:val="0"/>
        <w:spacing w:line="480" w:lineRule="exact"/>
        <w:jc w:val="both"/>
        <w:rPr>
          <w:rFonts w:ascii="標楷體" w:eastAsia="標楷體" w:hAnsi="標楷體"/>
          <w:color w:val="0D0D0D"/>
          <w:spacing w:val="24"/>
          <w:sz w:val="28"/>
          <w:szCs w:val="28"/>
        </w:rPr>
      </w:pPr>
    </w:p>
    <w:p w:rsidR="00F90989" w:rsidRPr="00E952AE" w:rsidRDefault="00F90989" w:rsidP="00E952AE">
      <w:pPr>
        <w:pStyle w:val="a3"/>
        <w:snapToGrid w:val="0"/>
        <w:spacing w:line="480" w:lineRule="exact"/>
        <w:ind w:left="560" w:hangingChars="200" w:hanging="560"/>
        <w:jc w:val="both"/>
        <w:rPr>
          <w:rFonts w:ascii="標楷體" w:eastAsia="標楷體" w:hAnsi="標楷體"/>
          <w:color w:val="0D0D0D"/>
          <w:sz w:val="28"/>
          <w:szCs w:val="28"/>
        </w:rPr>
      </w:pPr>
      <w:r w:rsidRPr="00E952AE">
        <w:rPr>
          <w:rFonts w:ascii="標楷體" w:eastAsia="標楷體" w:hAnsi="標楷體" w:hint="eastAsia"/>
          <w:color w:val="0D0D0D"/>
          <w:sz w:val="28"/>
          <w:szCs w:val="28"/>
        </w:rPr>
        <w:t>一、本方案依「</w:t>
      </w:r>
      <w:r>
        <w:rPr>
          <w:rFonts w:ascii="標楷體" w:eastAsia="標楷體" w:hAnsi="標楷體" w:hint="eastAsia"/>
          <w:color w:val="0D0D0D"/>
          <w:sz w:val="28"/>
          <w:szCs w:val="28"/>
        </w:rPr>
        <w:t>證券期貨</w:t>
      </w:r>
      <w:r w:rsidRPr="00E952AE">
        <w:rPr>
          <w:rFonts w:ascii="標楷體" w:eastAsia="標楷體" w:hAnsi="標楷體" w:hint="eastAsia"/>
          <w:color w:val="0D0D0D"/>
          <w:sz w:val="28"/>
          <w:szCs w:val="28"/>
        </w:rPr>
        <w:t>業防制洗錢及打擊資助恐怖主義注意事項」訂定，以防制洗錢及打擊資助恐怖主義為目的，內容涵括我國</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如何辨識、評估各項業務之洗錢及資助恐怖主義風險，以及制訂相關之</w:t>
      </w:r>
      <w:r w:rsidRPr="00DB1007">
        <w:rPr>
          <w:rFonts w:ascii="標楷體" w:eastAsia="標楷體" w:hAnsi="標楷體" w:hint="eastAsia"/>
          <w:color w:val="0D0D0D"/>
          <w:sz w:val="28"/>
          <w:szCs w:val="28"/>
        </w:rPr>
        <w:t>控管機制</w:t>
      </w:r>
      <w:r w:rsidRPr="00C734DE">
        <w:rPr>
          <w:rFonts w:ascii="標楷體" w:eastAsia="標楷體" w:hAnsi="標楷體" w:hint="eastAsia"/>
          <w:color w:val="0D0D0D"/>
          <w:sz w:val="28"/>
          <w:szCs w:val="28"/>
        </w:rPr>
        <w:t>及</w:t>
      </w:r>
      <w:r>
        <w:rPr>
          <w:rFonts w:ascii="標楷體" w:eastAsia="標楷體" w:hAnsi="標楷體" w:hint="eastAsia"/>
          <w:color w:val="0D0D0D"/>
          <w:sz w:val="28"/>
          <w:szCs w:val="28"/>
        </w:rPr>
        <w:t>程序</w:t>
      </w:r>
      <w:r w:rsidRPr="00E952AE">
        <w:rPr>
          <w:rFonts w:ascii="標楷體" w:eastAsia="標楷體" w:hAnsi="標楷體" w:hint="eastAsia"/>
          <w:color w:val="0D0D0D"/>
          <w:sz w:val="28"/>
          <w:szCs w:val="28"/>
        </w:rPr>
        <w:t>等，作為執行方法之參考。</w:t>
      </w:r>
    </w:p>
    <w:p w:rsidR="00F90989" w:rsidRPr="00E952AE" w:rsidRDefault="00F90989" w:rsidP="00E952AE">
      <w:pPr>
        <w:pStyle w:val="a3"/>
        <w:snapToGrid w:val="0"/>
        <w:spacing w:line="480" w:lineRule="exact"/>
        <w:ind w:left="560" w:hangingChars="200" w:hanging="560"/>
        <w:jc w:val="both"/>
        <w:rPr>
          <w:rFonts w:ascii="標楷體" w:eastAsia="標楷體" w:hAnsi="標楷體"/>
          <w:color w:val="0D0D0D"/>
          <w:sz w:val="28"/>
          <w:szCs w:val="28"/>
        </w:rPr>
      </w:pPr>
    </w:p>
    <w:p w:rsidR="00F90989" w:rsidRPr="00E952AE" w:rsidRDefault="00F90989" w:rsidP="00E952AE">
      <w:pPr>
        <w:pStyle w:val="a3"/>
        <w:snapToGrid w:val="0"/>
        <w:spacing w:line="480" w:lineRule="exact"/>
        <w:ind w:left="560" w:hangingChars="200" w:hanging="560"/>
        <w:jc w:val="both"/>
        <w:rPr>
          <w:rFonts w:ascii="標楷體" w:eastAsia="標楷體" w:hAnsi="標楷體"/>
          <w:color w:val="0D0D0D"/>
          <w:sz w:val="28"/>
          <w:szCs w:val="28"/>
        </w:rPr>
      </w:pPr>
      <w:r w:rsidRPr="00E952AE">
        <w:rPr>
          <w:rFonts w:ascii="標楷體" w:eastAsia="標楷體" w:hAnsi="標楷體" w:hint="eastAsia"/>
          <w:color w:val="0D0D0D"/>
          <w:sz w:val="28"/>
          <w:szCs w:val="28"/>
        </w:rPr>
        <w:t>二、</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之風險控管機制或內部控制制度，應包括針對洗錢及資助恐怖主義風險進行辨識、評估、管理，及相關書面政策、程序及控管措施之訂定，並定期檢討。</w:t>
      </w:r>
    </w:p>
    <w:p w:rsidR="00F90989" w:rsidRPr="00E952AE" w:rsidRDefault="00F90989" w:rsidP="00E952AE">
      <w:pPr>
        <w:pStyle w:val="a3"/>
        <w:snapToGrid w:val="0"/>
        <w:spacing w:line="480" w:lineRule="exact"/>
        <w:ind w:leftChars="236" w:left="566"/>
        <w:jc w:val="both"/>
        <w:rPr>
          <w:rFonts w:ascii="標楷體" w:eastAsia="標楷體" w:hAnsi="標楷體"/>
          <w:color w:val="0D0D0D"/>
          <w:sz w:val="28"/>
          <w:szCs w:val="28"/>
        </w:rPr>
      </w:pP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應依據其營運型態，</w:t>
      </w:r>
      <w:r>
        <w:rPr>
          <w:rFonts w:ascii="標楷體" w:eastAsia="標楷體" w:hAnsi="標楷體" w:hint="eastAsia"/>
          <w:color w:val="0D0D0D"/>
          <w:sz w:val="28"/>
          <w:szCs w:val="28"/>
        </w:rPr>
        <w:t>業務</w:t>
      </w:r>
      <w:r w:rsidRPr="00E952AE">
        <w:rPr>
          <w:rFonts w:ascii="標楷體" w:eastAsia="標楷體" w:hAnsi="標楷體" w:hint="eastAsia"/>
          <w:color w:val="0D0D0D"/>
          <w:sz w:val="28"/>
          <w:szCs w:val="28"/>
        </w:rPr>
        <w:t>與客戶特性等，採取合宜措施，建立定期且全面性之洗錢及資助恐怖主義風險評估作業，以適時且有效地瞭解其所面對之整體洗錢及資助恐怖主義風險。</w:t>
      </w:r>
    </w:p>
    <w:p w:rsidR="00F90989" w:rsidRPr="00E952AE" w:rsidRDefault="00F90989" w:rsidP="00E952AE">
      <w:pPr>
        <w:pStyle w:val="a3"/>
        <w:snapToGrid w:val="0"/>
        <w:spacing w:line="480" w:lineRule="exact"/>
        <w:ind w:leftChars="250" w:left="600"/>
        <w:jc w:val="both"/>
        <w:rPr>
          <w:rFonts w:ascii="標楷體" w:eastAsia="標楷體" w:hAnsi="標楷體"/>
          <w:color w:val="0D0D0D"/>
          <w:sz w:val="28"/>
          <w:szCs w:val="28"/>
        </w:rPr>
      </w:pPr>
      <w:r w:rsidRPr="00E952AE">
        <w:rPr>
          <w:rFonts w:ascii="標楷體" w:eastAsia="標楷體" w:hAnsi="標楷體" w:hint="eastAsia"/>
          <w:color w:val="0D0D0D"/>
          <w:sz w:val="28"/>
          <w:szCs w:val="28"/>
        </w:rPr>
        <w:t>本方案所舉例之各項說明與附錄並非強制性規範，</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應依據業務需求訂定適當風險評估機制，並依據風險評估結果分配適當資源，以採取有效的反制措施，預防或降低風險。</w:t>
      </w:r>
    </w:p>
    <w:p w:rsidR="00F90989" w:rsidRPr="00E952AE" w:rsidRDefault="00F90989" w:rsidP="00E952AE">
      <w:pPr>
        <w:pStyle w:val="a3"/>
        <w:snapToGrid w:val="0"/>
        <w:spacing w:line="480" w:lineRule="exact"/>
        <w:ind w:leftChars="236" w:left="566"/>
        <w:jc w:val="both"/>
        <w:rPr>
          <w:rFonts w:ascii="標楷體" w:eastAsia="標楷體" w:hAnsi="標楷體"/>
          <w:color w:val="0D0D0D"/>
          <w:sz w:val="28"/>
          <w:szCs w:val="28"/>
        </w:rPr>
      </w:pP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不得向客戶或與執行防制洗錢義務無關者，透露客戶之風險等級資訊。</w:t>
      </w:r>
    </w:p>
    <w:p w:rsidR="00F90989" w:rsidRPr="00E952AE" w:rsidRDefault="00F90989" w:rsidP="00E952AE">
      <w:pPr>
        <w:pStyle w:val="a3"/>
        <w:snapToGrid w:val="0"/>
        <w:spacing w:line="480" w:lineRule="exact"/>
        <w:jc w:val="both"/>
        <w:rPr>
          <w:rFonts w:ascii="標楷體" w:eastAsia="標楷體" w:hAnsi="標楷體"/>
          <w:color w:val="0D0D0D"/>
          <w:sz w:val="28"/>
          <w:szCs w:val="28"/>
        </w:rPr>
      </w:pPr>
    </w:p>
    <w:p w:rsidR="00F90989" w:rsidRPr="00E952AE" w:rsidRDefault="00F90989" w:rsidP="00E952AE">
      <w:pPr>
        <w:pStyle w:val="a3"/>
        <w:snapToGrid w:val="0"/>
        <w:spacing w:line="480" w:lineRule="exact"/>
        <w:ind w:left="560" w:hangingChars="200" w:hanging="560"/>
        <w:jc w:val="both"/>
        <w:rPr>
          <w:rFonts w:ascii="標楷體" w:eastAsia="標楷體" w:hAnsi="標楷體"/>
          <w:color w:val="0D0D0D"/>
          <w:sz w:val="28"/>
          <w:szCs w:val="28"/>
        </w:rPr>
      </w:pPr>
      <w:r w:rsidRPr="00E952AE">
        <w:rPr>
          <w:rFonts w:ascii="標楷體" w:eastAsia="標楷體" w:hAnsi="標楷體" w:hint="eastAsia"/>
          <w:color w:val="0D0D0D"/>
          <w:sz w:val="28"/>
          <w:szCs w:val="28"/>
        </w:rPr>
        <w:t>三、</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應採取合宜措施以識別、評估其洗錢及資助恐怖主義風險，並依據所辨識之風險訂定具體的風險評估項目，以進一步管控、降低或預防該風險。</w:t>
      </w:r>
    </w:p>
    <w:p w:rsidR="00F90989" w:rsidRPr="00E952AE" w:rsidRDefault="00F90989" w:rsidP="00E952AE">
      <w:pPr>
        <w:pStyle w:val="a3"/>
        <w:snapToGrid w:val="0"/>
        <w:spacing w:line="480" w:lineRule="exact"/>
        <w:ind w:left="566"/>
        <w:jc w:val="both"/>
        <w:rPr>
          <w:rFonts w:ascii="標楷體" w:eastAsia="標楷體" w:hAnsi="標楷體"/>
          <w:color w:val="0D0D0D"/>
          <w:sz w:val="28"/>
          <w:szCs w:val="28"/>
        </w:rPr>
      </w:pPr>
      <w:r w:rsidRPr="00E952AE">
        <w:rPr>
          <w:rFonts w:ascii="標楷體" w:eastAsia="標楷體" w:hAnsi="標楷體" w:hint="eastAsia"/>
          <w:color w:val="0D0D0D"/>
          <w:sz w:val="28"/>
          <w:szCs w:val="28"/>
        </w:rPr>
        <w:t>具體的風險評估項目應至少包括地域、客戶與</w:t>
      </w:r>
      <w:r>
        <w:rPr>
          <w:rFonts w:ascii="標楷體" w:eastAsia="標楷體" w:hAnsi="標楷體" w:hint="eastAsia"/>
          <w:color w:val="0D0D0D"/>
          <w:sz w:val="28"/>
          <w:szCs w:val="28"/>
        </w:rPr>
        <w:t>交易</w:t>
      </w:r>
      <w:r w:rsidRPr="00E952AE">
        <w:rPr>
          <w:rFonts w:ascii="標楷體" w:eastAsia="標楷體" w:hAnsi="標楷體" w:hint="eastAsia"/>
          <w:color w:val="0D0D0D"/>
          <w:sz w:val="28"/>
          <w:szCs w:val="28"/>
        </w:rPr>
        <w:t>三類指標，並應進一步分析各風險項目，以訂定細部的風險因素。</w:t>
      </w:r>
    </w:p>
    <w:p w:rsidR="00F90989" w:rsidRPr="00E952AE" w:rsidRDefault="00F90989" w:rsidP="00E952AE">
      <w:pPr>
        <w:pStyle w:val="a3"/>
        <w:numPr>
          <w:ilvl w:val="0"/>
          <w:numId w:val="3"/>
        </w:numPr>
        <w:snapToGrid w:val="0"/>
        <w:spacing w:line="480" w:lineRule="exact"/>
        <w:ind w:hanging="240"/>
        <w:jc w:val="both"/>
        <w:rPr>
          <w:rFonts w:ascii="標楷體" w:eastAsia="標楷體" w:hAnsi="標楷體"/>
          <w:color w:val="0D0D0D"/>
          <w:sz w:val="28"/>
          <w:szCs w:val="28"/>
        </w:rPr>
      </w:pPr>
      <w:r w:rsidRPr="00E952AE">
        <w:rPr>
          <w:rFonts w:ascii="標楷體" w:eastAsia="標楷體" w:hAnsi="標楷體" w:hint="eastAsia"/>
          <w:color w:val="0D0D0D"/>
          <w:sz w:val="28"/>
          <w:szCs w:val="28"/>
        </w:rPr>
        <w:t>地域風險：</w:t>
      </w:r>
    </w:p>
    <w:p w:rsidR="00F90989" w:rsidRPr="00E952AE" w:rsidRDefault="00F90989" w:rsidP="00E952AE">
      <w:pPr>
        <w:pStyle w:val="a3"/>
        <w:numPr>
          <w:ilvl w:val="1"/>
          <w:numId w:val="1"/>
        </w:numPr>
        <w:tabs>
          <w:tab w:val="clear" w:pos="1474"/>
          <w:tab w:val="num" w:pos="1080"/>
        </w:tabs>
        <w:snapToGrid w:val="0"/>
        <w:spacing w:line="480" w:lineRule="exact"/>
        <w:ind w:left="1080" w:hanging="480"/>
        <w:jc w:val="both"/>
        <w:rPr>
          <w:rFonts w:ascii="標楷體" w:eastAsia="標楷體" w:hAnsi="標楷體"/>
          <w:color w:val="0D0D0D"/>
          <w:sz w:val="28"/>
          <w:szCs w:val="28"/>
        </w:rPr>
      </w:pP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應識別其具較高洗錢及資助恐怖主義風險的區域。</w:t>
      </w:r>
    </w:p>
    <w:p w:rsidR="00F90989" w:rsidRPr="00E952AE" w:rsidRDefault="00F90989" w:rsidP="00E952AE">
      <w:pPr>
        <w:pStyle w:val="a3"/>
        <w:numPr>
          <w:ilvl w:val="1"/>
          <w:numId w:val="1"/>
        </w:numPr>
        <w:tabs>
          <w:tab w:val="clear" w:pos="1474"/>
          <w:tab w:val="num" w:pos="1080"/>
        </w:tabs>
        <w:snapToGrid w:val="0"/>
        <w:spacing w:line="480" w:lineRule="exact"/>
        <w:ind w:left="1080" w:hanging="480"/>
        <w:jc w:val="both"/>
        <w:rPr>
          <w:rFonts w:ascii="標楷體" w:eastAsia="標楷體" w:hAnsi="標楷體"/>
          <w:color w:val="0D0D0D"/>
          <w:sz w:val="28"/>
          <w:szCs w:val="28"/>
        </w:rPr>
      </w:pPr>
      <w:r w:rsidRPr="00E952AE">
        <w:rPr>
          <w:rFonts w:ascii="標楷體" w:eastAsia="標楷體" w:hAnsi="標楷體" w:hint="eastAsia"/>
          <w:color w:val="0D0D0D"/>
          <w:sz w:val="28"/>
          <w:szCs w:val="28"/>
        </w:rPr>
        <w:t>於訂定高洗錢及資助恐怖主義風險之區域名單時，</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得依據其各分支機構的實務經驗或參照附錄，並考量個別需求，以選擇適用之參考依據。</w:t>
      </w:r>
    </w:p>
    <w:p w:rsidR="00F90989" w:rsidRPr="00E952AE" w:rsidRDefault="00F90989" w:rsidP="00E952AE">
      <w:pPr>
        <w:pStyle w:val="a3"/>
        <w:numPr>
          <w:ilvl w:val="1"/>
          <w:numId w:val="1"/>
        </w:numPr>
        <w:tabs>
          <w:tab w:val="clear" w:pos="1474"/>
          <w:tab w:val="num" w:pos="1080"/>
        </w:tabs>
        <w:snapToGrid w:val="0"/>
        <w:spacing w:line="480" w:lineRule="exact"/>
        <w:ind w:left="1080" w:hanging="480"/>
        <w:jc w:val="both"/>
        <w:rPr>
          <w:rFonts w:ascii="標楷體" w:eastAsia="標楷體" w:hAnsi="標楷體"/>
          <w:color w:val="0D0D0D"/>
          <w:sz w:val="28"/>
          <w:szCs w:val="28"/>
        </w:rPr>
      </w:pPr>
      <w:r w:rsidRPr="00E952AE">
        <w:rPr>
          <w:rFonts w:ascii="標楷體" w:eastAsia="標楷體" w:hAnsi="標楷體" w:hint="eastAsia"/>
          <w:color w:val="0D0D0D"/>
          <w:sz w:val="28"/>
          <w:szCs w:val="28"/>
        </w:rPr>
        <w:t>進行地域風險評估時，</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應了解客戶之國籍、註冊地或營業地、客戶與</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之地緣關係、或交易涉及</w:t>
      </w:r>
      <w:r>
        <w:rPr>
          <w:rFonts w:ascii="標楷體" w:eastAsia="標楷體" w:hAnsi="標楷體" w:hint="eastAsia"/>
          <w:color w:val="0D0D0D"/>
          <w:sz w:val="28"/>
          <w:szCs w:val="28"/>
        </w:rPr>
        <w:t>之</w:t>
      </w:r>
      <w:r w:rsidRPr="00E952AE">
        <w:rPr>
          <w:rFonts w:ascii="標楷體" w:eastAsia="標楷體" w:hAnsi="標楷體" w:hint="eastAsia"/>
          <w:color w:val="0D0D0D"/>
          <w:sz w:val="28"/>
          <w:szCs w:val="28"/>
        </w:rPr>
        <w:t>區域，以綜合評估其風險。</w:t>
      </w:r>
    </w:p>
    <w:p w:rsidR="00F90989" w:rsidRPr="00E952AE" w:rsidRDefault="00F90989" w:rsidP="00E952AE">
      <w:pPr>
        <w:pStyle w:val="a3"/>
        <w:numPr>
          <w:ilvl w:val="0"/>
          <w:numId w:val="3"/>
        </w:numPr>
        <w:tabs>
          <w:tab w:val="clear" w:pos="480"/>
          <w:tab w:val="num" w:pos="1120"/>
        </w:tabs>
        <w:snapToGrid w:val="0"/>
        <w:spacing w:line="480" w:lineRule="exact"/>
        <w:ind w:left="1162" w:hanging="882"/>
        <w:jc w:val="both"/>
        <w:rPr>
          <w:rFonts w:ascii="標楷體" w:eastAsia="標楷體" w:hAnsi="標楷體"/>
          <w:color w:val="0D0D0D"/>
          <w:sz w:val="28"/>
          <w:szCs w:val="28"/>
        </w:rPr>
      </w:pPr>
      <w:r w:rsidRPr="00E952AE">
        <w:rPr>
          <w:rFonts w:ascii="標楷體" w:eastAsia="標楷體" w:hAnsi="標楷體" w:hint="eastAsia"/>
          <w:color w:val="0D0D0D"/>
          <w:sz w:val="28"/>
          <w:szCs w:val="28"/>
        </w:rPr>
        <w:t>客戶風險：</w:t>
      </w:r>
    </w:p>
    <w:p w:rsidR="00F90989" w:rsidRPr="00E952AE" w:rsidRDefault="00F90989" w:rsidP="00E952AE">
      <w:pPr>
        <w:pStyle w:val="a3"/>
        <w:numPr>
          <w:ilvl w:val="0"/>
          <w:numId w:val="4"/>
        </w:numPr>
        <w:tabs>
          <w:tab w:val="clear" w:pos="1474"/>
          <w:tab w:val="num" w:pos="1092"/>
        </w:tabs>
        <w:snapToGrid w:val="0"/>
        <w:spacing w:line="480" w:lineRule="exact"/>
        <w:ind w:left="1092" w:hanging="476"/>
        <w:jc w:val="both"/>
        <w:rPr>
          <w:rFonts w:ascii="標楷體" w:eastAsia="標楷體" w:hAnsi="標楷體"/>
          <w:color w:val="0D0D0D"/>
          <w:sz w:val="28"/>
          <w:szCs w:val="28"/>
        </w:rPr>
      </w:pPr>
      <w:r>
        <w:rPr>
          <w:rFonts w:ascii="標楷體" w:eastAsia="標楷體" w:hAnsi="標楷體" w:hint="eastAsia"/>
          <w:color w:val="0D0D0D"/>
          <w:sz w:val="28"/>
          <w:szCs w:val="28"/>
        </w:rPr>
        <w:lastRenderedPageBreak/>
        <w:t>期貨商</w:t>
      </w:r>
      <w:r w:rsidRPr="00E952AE">
        <w:rPr>
          <w:rFonts w:ascii="標楷體" w:eastAsia="標楷體" w:hAnsi="標楷體" w:hint="eastAsia"/>
          <w:color w:val="0D0D0D"/>
          <w:sz w:val="28"/>
          <w:szCs w:val="28"/>
        </w:rPr>
        <w:t>應綜合考量客戶背景、職業與社會經濟活動特性、地域、聲譽、以及非自然人客戶之組織型態與架構等，以識別客戶洗錢及資助恐怖主義風險。</w:t>
      </w:r>
    </w:p>
    <w:p w:rsidR="00F90989" w:rsidRPr="00E952AE" w:rsidRDefault="00F90989" w:rsidP="00E952AE">
      <w:pPr>
        <w:pStyle w:val="a3"/>
        <w:numPr>
          <w:ilvl w:val="0"/>
          <w:numId w:val="4"/>
        </w:numPr>
        <w:tabs>
          <w:tab w:val="clear" w:pos="1474"/>
          <w:tab w:val="num" w:pos="1092"/>
        </w:tabs>
        <w:snapToGrid w:val="0"/>
        <w:spacing w:line="480" w:lineRule="exact"/>
        <w:ind w:left="1092" w:hanging="476"/>
        <w:jc w:val="both"/>
        <w:rPr>
          <w:rFonts w:ascii="標楷體" w:eastAsia="標楷體" w:hAnsi="標楷體"/>
          <w:color w:val="0D0D0D"/>
          <w:sz w:val="28"/>
          <w:szCs w:val="28"/>
        </w:rPr>
      </w:pPr>
      <w:r w:rsidRPr="00E952AE">
        <w:rPr>
          <w:rFonts w:ascii="標楷體" w:eastAsia="標楷體" w:hAnsi="標楷體" w:hint="eastAsia"/>
          <w:color w:val="0D0D0D"/>
          <w:sz w:val="28"/>
          <w:szCs w:val="28"/>
        </w:rPr>
        <w:t>於識別客戶風險並決定客戶風險等級時，</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得依據以下風險因素為評估依據：</w:t>
      </w:r>
    </w:p>
    <w:p w:rsidR="00F90989" w:rsidRPr="00E952AE" w:rsidRDefault="00F90989" w:rsidP="00E952AE">
      <w:pPr>
        <w:pStyle w:val="a3"/>
        <w:numPr>
          <w:ilvl w:val="0"/>
          <w:numId w:val="5"/>
        </w:numPr>
        <w:tabs>
          <w:tab w:val="clear" w:pos="1727"/>
          <w:tab w:val="num" w:pos="1638"/>
        </w:tabs>
        <w:snapToGrid w:val="0"/>
        <w:spacing w:line="480" w:lineRule="exact"/>
        <w:ind w:hanging="929"/>
        <w:jc w:val="both"/>
        <w:rPr>
          <w:rFonts w:ascii="標楷體" w:eastAsia="標楷體" w:hAnsi="標楷體"/>
          <w:color w:val="0D0D0D"/>
          <w:sz w:val="28"/>
          <w:szCs w:val="28"/>
        </w:rPr>
      </w:pPr>
      <w:r w:rsidRPr="00E952AE">
        <w:rPr>
          <w:rFonts w:ascii="標楷體" w:eastAsia="標楷體" w:hAnsi="標楷體" w:hint="eastAsia"/>
          <w:color w:val="0D0D0D"/>
          <w:sz w:val="28"/>
          <w:szCs w:val="28"/>
        </w:rPr>
        <w:t>客戶之國籍與居住之國家與區域。</w:t>
      </w:r>
    </w:p>
    <w:p w:rsidR="00F90989" w:rsidRPr="00E952AE" w:rsidRDefault="00F90989" w:rsidP="00E952AE">
      <w:pPr>
        <w:pStyle w:val="a3"/>
        <w:numPr>
          <w:ilvl w:val="0"/>
          <w:numId w:val="5"/>
        </w:numPr>
        <w:tabs>
          <w:tab w:val="num" w:pos="1638"/>
        </w:tabs>
        <w:snapToGrid w:val="0"/>
        <w:spacing w:line="480" w:lineRule="exact"/>
        <w:ind w:hanging="929"/>
        <w:jc w:val="both"/>
        <w:rPr>
          <w:rFonts w:ascii="標楷體" w:eastAsia="標楷體" w:hAnsi="標楷體"/>
          <w:color w:val="0D0D0D"/>
          <w:sz w:val="28"/>
          <w:szCs w:val="28"/>
        </w:rPr>
      </w:pPr>
      <w:r w:rsidRPr="00E952AE">
        <w:rPr>
          <w:rFonts w:ascii="標楷體" w:eastAsia="標楷體" w:hAnsi="標楷體" w:hint="eastAsia"/>
          <w:color w:val="0D0D0D"/>
          <w:sz w:val="28"/>
          <w:szCs w:val="28"/>
        </w:rPr>
        <w:t>其職業與行業之洗錢風險。</w:t>
      </w:r>
    </w:p>
    <w:p w:rsidR="00F90989" w:rsidRPr="00E952AE" w:rsidRDefault="00F90989" w:rsidP="00E952AE">
      <w:pPr>
        <w:pStyle w:val="a3"/>
        <w:numPr>
          <w:ilvl w:val="0"/>
          <w:numId w:val="5"/>
        </w:numPr>
        <w:tabs>
          <w:tab w:val="num" w:pos="1638"/>
        </w:tabs>
        <w:snapToGrid w:val="0"/>
        <w:spacing w:line="480" w:lineRule="exact"/>
        <w:ind w:hanging="929"/>
        <w:jc w:val="both"/>
        <w:rPr>
          <w:rFonts w:ascii="標楷體" w:eastAsia="標楷體" w:hAnsi="標楷體"/>
          <w:color w:val="0D0D0D"/>
          <w:sz w:val="28"/>
          <w:szCs w:val="28"/>
        </w:rPr>
      </w:pPr>
      <w:r w:rsidRPr="00E952AE">
        <w:rPr>
          <w:rFonts w:ascii="標楷體" w:eastAsia="標楷體" w:hAnsi="標楷體" w:hint="eastAsia"/>
          <w:color w:val="0D0D0D"/>
          <w:sz w:val="28"/>
          <w:szCs w:val="28"/>
        </w:rPr>
        <w:t>客戶開戶與建立業務關係之管道。</w:t>
      </w:r>
    </w:p>
    <w:p w:rsidR="00F90989" w:rsidRPr="00E952AE" w:rsidRDefault="00F90989" w:rsidP="00E952AE">
      <w:pPr>
        <w:pStyle w:val="a3"/>
        <w:numPr>
          <w:ilvl w:val="0"/>
          <w:numId w:val="5"/>
        </w:numPr>
        <w:tabs>
          <w:tab w:val="num" w:pos="1638"/>
        </w:tabs>
        <w:snapToGrid w:val="0"/>
        <w:spacing w:line="480" w:lineRule="exact"/>
        <w:ind w:hanging="929"/>
        <w:jc w:val="both"/>
        <w:rPr>
          <w:rFonts w:ascii="標楷體" w:eastAsia="標楷體" w:hAnsi="標楷體"/>
          <w:color w:val="0D0D0D"/>
          <w:sz w:val="28"/>
          <w:szCs w:val="28"/>
        </w:rPr>
      </w:pPr>
      <w:r w:rsidRPr="00E952AE">
        <w:rPr>
          <w:rFonts w:ascii="標楷體" w:eastAsia="標楷體" w:hAnsi="標楷體" w:hint="eastAsia"/>
          <w:color w:val="0D0D0D"/>
          <w:sz w:val="28"/>
          <w:szCs w:val="28"/>
        </w:rPr>
        <w:t>客戶開戶與建立業務關係之金額。</w:t>
      </w:r>
    </w:p>
    <w:p w:rsidR="00F90989" w:rsidRPr="00E952AE" w:rsidRDefault="00F90989" w:rsidP="00E952AE">
      <w:pPr>
        <w:pStyle w:val="a3"/>
        <w:numPr>
          <w:ilvl w:val="0"/>
          <w:numId w:val="5"/>
        </w:numPr>
        <w:tabs>
          <w:tab w:val="num" w:pos="1638"/>
        </w:tabs>
        <w:snapToGrid w:val="0"/>
        <w:spacing w:line="480" w:lineRule="exact"/>
        <w:ind w:hanging="929"/>
        <w:jc w:val="both"/>
        <w:rPr>
          <w:rFonts w:ascii="標楷體" w:eastAsia="標楷體" w:hAnsi="標楷體"/>
          <w:color w:val="0D0D0D"/>
          <w:sz w:val="28"/>
          <w:szCs w:val="28"/>
        </w:rPr>
      </w:pPr>
      <w:r w:rsidRPr="00E952AE">
        <w:rPr>
          <w:rFonts w:ascii="標楷體" w:eastAsia="標楷體" w:hAnsi="標楷體" w:hint="eastAsia"/>
          <w:color w:val="0D0D0D"/>
          <w:sz w:val="28"/>
          <w:szCs w:val="28"/>
        </w:rPr>
        <w:t>帳戶預期的交易金額。</w:t>
      </w:r>
    </w:p>
    <w:p w:rsidR="00F90989" w:rsidRPr="00E952AE" w:rsidRDefault="00F90989" w:rsidP="00E952AE">
      <w:pPr>
        <w:pStyle w:val="a3"/>
        <w:numPr>
          <w:ilvl w:val="0"/>
          <w:numId w:val="3"/>
        </w:numPr>
        <w:snapToGrid w:val="0"/>
        <w:spacing w:line="480" w:lineRule="exact"/>
        <w:ind w:left="1162" w:hanging="878"/>
        <w:jc w:val="both"/>
        <w:rPr>
          <w:rFonts w:ascii="標楷體" w:eastAsia="標楷體" w:hAnsi="標楷體"/>
          <w:color w:val="0D0D0D"/>
          <w:sz w:val="28"/>
          <w:szCs w:val="28"/>
        </w:rPr>
      </w:pPr>
      <w:r>
        <w:rPr>
          <w:rFonts w:ascii="標楷體" w:eastAsia="標楷體" w:hAnsi="標楷體" w:hint="eastAsia"/>
          <w:color w:val="0D0D0D"/>
          <w:sz w:val="28"/>
          <w:szCs w:val="28"/>
        </w:rPr>
        <w:t>交易</w:t>
      </w:r>
      <w:r w:rsidRPr="00E952AE">
        <w:rPr>
          <w:rFonts w:ascii="標楷體" w:eastAsia="標楷體" w:hAnsi="標楷體" w:hint="eastAsia"/>
          <w:color w:val="0D0D0D"/>
          <w:sz w:val="28"/>
          <w:szCs w:val="28"/>
        </w:rPr>
        <w:t>風險：</w:t>
      </w:r>
    </w:p>
    <w:p w:rsidR="00F90989" w:rsidRPr="00E952AE" w:rsidRDefault="00F90989" w:rsidP="00E952AE">
      <w:pPr>
        <w:pStyle w:val="a3"/>
        <w:numPr>
          <w:ilvl w:val="0"/>
          <w:numId w:val="6"/>
        </w:numPr>
        <w:tabs>
          <w:tab w:val="clear" w:pos="1474"/>
          <w:tab w:val="num" w:pos="1078"/>
        </w:tabs>
        <w:snapToGrid w:val="0"/>
        <w:spacing w:line="480" w:lineRule="exact"/>
        <w:ind w:left="1064" w:hanging="448"/>
        <w:jc w:val="both"/>
        <w:rPr>
          <w:rFonts w:ascii="標楷體" w:eastAsia="標楷體" w:hAnsi="標楷體"/>
          <w:color w:val="0D0D0D"/>
          <w:sz w:val="28"/>
          <w:szCs w:val="28"/>
        </w:rPr>
      </w:pP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應依據</w:t>
      </w:r>
      <w:r>
        <w:rPr>
          <w:rFonts w:ascii="標楷體" w:eastAsia="標楷體" w:hAnsi="標楷體" w:hint="eastAsia"/>
          <w:color w:val="0D0D0D"/>
          <w:sz w:val="28"/>
          <w:szCs w:val="28"/>
        </w:rPr>
        <w:t>特定交易之</w:t>
      </w:r>
      <w:r w:rsidRPr="00E952AE">
        <w:rPr>
          <w:rFonts w:ascii="標楷體" w:eastAsia="標楷體" w:hAnsi="標楷體" w:hint="eastAsia"/>
          <w:color w:val="0D0D0D"/>
          <w:sz w:val="28"/>
          <w:szCs w:val="28"/>
        </w:rPr>
        <w:t>性質，識別可能為個別</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帶來較高的洗錢及資助恐怖主義風險者。</w:t>
      </w:r>
    </w:p>
    <w:p w:rsidR="00F90989" w:rsidRPr="00E952AE" w:rsidRDefault="00F90989" w:rsidP="00E952AE">
      <w:pPr>
        <w:pStyle w:val="a3"/>
        <w:numPr>
          <w:ilvl w:val="0"/>
          <w:numId w:val="6"/>
        </w:numPr>
        <w:tabs>
          <w:tab w:val="clear" w:pos="1474"/>
          <w:tab w:val="num" w:pos="1078"/>
        </w:tabs>
        <w:snapToGrid w:val="0"/>
        <w:spacing w:line="480" w:lineRule="exact"/>
        <w:ind w:left="1064" w:hanging="448"/>
        <w:jc w:val="both"/>
        <w:rPr>
          <w:rFonts w:ascii="標楷體" w:eastAsia="標楷體" w:hAnsi="標楷體"/>
          <w:color w:val="0D0D0D"/>
          <w:sz w:val="28"/>
          <w:szCs w:val="28"/>
        </w:rPr>
      </w:pPr>
      <w:r w:rsidRPr="00E952AE">
        <w:rPr>
          <w:rFonts w:ascii="標楷體" w:eastAsia="標楷體" w:hAnsi="標楷體" w:hint="eastAsia"/>
          <w:color w:val="0D0D0D"/>
          <w:sz w:val="28"/>
          <w:szCs w:val="28"/>
        </w:rPr>
        <w:t>應於新</w:t>
      </w:r>
      <w:r>
        <w:rPr>
          <w:rFonts w:ascii="標楷體" w:eastAsia="標楷體" w:hAnsi="標楷體" w:hint="eastAsia"/>
          <w:color w:val="0D0D0D"/>
          <w:sz w:val="28"/>
          <w:szCs w:val="28"/>
        </w:rPr>
        <w:t>交易型態</w:t>
      </w:r>
      <w:r w:rsidRPr="00E952AE">
        <w:rPr>
          <w:rFonts w:ascii="標楷體" w:eastAsia="標楷體" w:hAnsi="標楷體" w:hint="eastAsia"/>
          <w:color w:val="0D0D0D"/>
          <w:sz w:val="28"/>
          <w:szCs w:val="28"/>
        </w:rPr>
        <w:t>上線前，進行全面洗錢風險評估，並按照風險控制原則，建立相應風險管理措施。</w:t>
      </w:r>
    </w:p>
    <w:p w:rsidR="00F90989" w:rsidRDefault="00F90989" w:rsidP="001D7372">
      <w:pPr>
        <w:pStyle w:val="a3"/>
        <w:numPr>
          <w:ilvl w:val="0"/>
          <w:numId w:val="6"/>
        </w:numPr>
        <w:tabs>
          <w:tab w:val="clear" w:pos="1474"/>
          <w:tab w:val="num" w:pos="1078"/>
        </w:tabs>
        <w:snapToGrid w:val="0"/>
        <w:spacing w:line="480" w:lineRule="exact"/>
        <w:ind w:left="1064" w:hanging="448"/>
        <w:jc w:val="both"/>
        <w:rPr>
          <w:rFonts w:ascii="標楷體" w:eastAsia="標楷體" w:hAnsi="標楷體"/>
          <w:color w:val="0D0D0D"/>
          <w:sz w:val="28"/>
          <w:szCs w:val="28"/>
        </w:rPr>
      </w:pPr>
      <w:r>
        <w:rPr>
          <w:rFonts w:ascii="標楷體" w:eastAsia="標楷體" w:hAnsi="標楷體" w:hint="eastAsia"/>
          <w:color w:val="0D0D0D"/>
          <w:sz w:val="28"/>
          <w:szCs w:val="28"/>
        </w:rPr>
        <w:t>交易</w:t>
      </w:r>
      <w:r w:rsidRPr="00E952AE">
        <w:rPr>
          <w:rFonts w:ascii="標楷體" w:eastAsia="標楷體" w:hAnsi="標楷體" w:hint="eastAsia"/>
          <w:color w:val="0D0D0D"/>
          <w:sz w:val="28"/>
          <w:szCs w:val="28"/>
        </w:rPr>
        <w:t>風險因素舉例如下：</w:t>
      </w:r>
      <w:r>
        <w:rPr>
          <w:rFonts w:ascii="標楷體" w:eastAsia="標楷體" w:hAnsi="標楷體"/>
          <w:color w:val="0D0D0D"/>
          <w:sz w:val="28"/>
          <w:szCs w:val="28"/>
        </w:rPr>
        <w:t xml:space="preserve"> </w:t>
      </w:r>
    </w:p>
    <w:p w:rsidR="00F90989" w:rsidRPr="00E952AE" w:rsidRDefault="00F90989" w:rsidP="001D7372">
      <w:pPr>
        <w:pStyle w:val="a3"/>
        <w:snapToGrid w:val="0"/>
        <w:spacing w:line="480" w:lineRule="exact"/>
        <w:jc w:val="both"/>
        <w:rPr>
          <w:rFonts w:ascii="標楷體" w:eastAsia="標楷體" w:hAnsi="標楷體"/>
          <w:color w:val="0D0D0D"/>
          <w:sz w:val="28"/>
          <w:szCs w:val="28"/>
        </w:rPr>
      </w:pPr>
      <w:r>
        <w:rPr>
          <w:rFonts w:ascii="標楷體" w:eastAsia="標楷體" w:hAnsi="標楷體"/>
          <w:color w:val="0D0D0D"/>
          <w:sz w:val="28"/>
          <w:szCs w:val="28"/>
        </w:rPr>
        <w:t xml:space="preserve">     </w:t>
      </w:r>
      <w:r>
        <w:rPr>
          <w:rFonts w:ascii="標楷體" w:eastAsia="標楷體" w:hAnsi="標楷體" w:hint="eastAsia"/>
          <w:color w:val="0D0D0D"/>
          <w:sz w:val="28"/>
          <w:szCs w:val="28"/>
        </w:rPr>
        <w:t>（</w:t>
      </w:r>
      <w:r>
        <w:rPr>
          <w:rFonts w:ascii="標楷體" w:eastAsia="標楷體" w:hAnsi="標楷體"/>
          <w:color w:val="0D0D0D"/>
          <w:sz w:val="28"/>
          <w:szCs w:val="28"/>
        </w:rPr>
        <w:t>1</w:t>
      </w:r>
      <w:r>
        <w:rPr>
          <w:rFonts w:ascii="標楷體" w:eastAsia="標楷體" w:hAnsi="標楷體" w:hint="eastAsia"/>
          <w:color w:val="0D0D0D"/>
          <w:sz w:val="28"/>
          <w:szCs w:val="28"/>
        </w:rPr>
        <w:t>）</w:t>
      </w:r>
      <w:r w:rsidRPr="009F6593">
        <w:rPr>
          <w:rFonts w:ascii="標楷體" w:eastAsia="標楷體" w:hAnsi="標楷體" w:hint="eastAsia"/>
          <w:color w:val="0D0D0D"/>
          <w:sz w:val="28"/>
          <w:szCs w:val="28"/>
        </w:rPr>
        <w:t>客戶是否曾違約</w:t>
      </w:r>
      <w:r w:rsidRPr="00E952AE">
        <w:rPr>
          <w:rFonts w:ascii="標楷體" w:eastAsia="標楷體" w:hAnsi="標楷體" w:hint="eastAsia"/>
          <w:color w:val="0D0D0D"/>
          <w:sz w:val="28"/>
          <w:szCs w:val="28"/>
        </w:rPr>
        <w:t>。</w:t>
      </w:r>
    </w:p>
    <w:p w:rsidR="00F90989" w:rsidRPr="00E952AE" w:rsidRDefault="00F90989" w:rsidP="001D7372">
      <w:pPr>
        <w:pStyle w:val="a3"/>
        <w:snapToGrid w:val="0"/>
        <w:spacing w:line="480" w:lineRule="exact"/>
        <w:jc w:val="both"/>
        <w:rPr>
          <w:rFonts w:ascii="標楷體" w:eastAsia="標楷體" w:hAnsi="標楷體"/>
          <w:color w:val="0D0D0D"/>
          <w:sz w:val="28"/>
          <w:szCs w:val="28"/>
        </w:rPr>
      </w:pPr>
      <w:r>
        <w:rPr>
          <w:rFonts w:ascii="標楷體" w:eastAsia="標楷體" w:hAnsi="標楷體"/>
          <w:color w:val="0D0D0D"/>
          <w:sz w:val="28"/>
          <w:szCs w:val="28"/>
        </w:rPr>
        <w:t xml:space="preserve">     </w:t>
      </w:r>
      <w:r>
        <w:rPr>
          <w:rFonts w:ascii="標楷體" w:eastAsia="標楷體" w:hAnsi="標楷體" w:hint="eastAsia"/>
          <w:color w:val="0D0D0D"/>
          <w:sz w:val="28"/>
          <w:szCs w:val="28"/>
        </w:rPr>
        <w:t>（</w:t>
      </w:r>
      <w:r>
        <w:rPr>
          <w:rFonts w:ascii="標楷體" w:eastAsia="標楷體" w:hAnsi="標楷體"/>
          <w:color w:val="0D0D0D"/>
          <w:sz w:val="28"/>
          <w:szCs w:val="28"/>
        </w:rPr>
        <w:t>2</w:t>
      </w:r>
      <w:r>
        <w:rPr>
          <w:rFonts w:ascii="標楷體" w:eastAsia="標楷體" w:hAnsi="標楷體" w:hint="eastAsia"/>
          <w:color w:val="0D0D0D"/>
          <w:sz w:val="28"/>
          <w:szCs w:val="28"/>
        </w:rPr>
        <w:t>）</w:t>
      </w:r>
      <w:r w:rsidRPr="00E952AE">
        <w:rPr>
          <w:rFonts w:ascii="標楷體" w:eastAsia="標楷體" w:hAnsi="標楷體" w:hint="eastAsia"/>
          <w:color w:val="0D0D0D"/>
          <w:sz w:val="28"/>
          <w:szCs w:val="28"/>
        </w:rPr>
        <w:t>是否為面對面業務往來關係或</w:t>
      </w:r>
      <w:r>
        <w:rPr>
          <w:rFonts w:ascii="標楷體" w:eastAsia="標楷體" w:hAnsi="標楷體" w:hint="eastAsia"/>
          <w:color w:val="0D0D0D"/>
          <w:sz w:val="28"/>
          <w:szCs w:val="28"/>
        </w:rPr>
        <w:t>服務</w:t>
      </w:r>
      <w:r w:rsidRPr="00E952AE">
        <w:rPr>
          <w:rFonts w:ascii="標楷體" w:eastAsia="標楷體" w:hAnsi="標楷體" w:hint="eastAsia"/>
          <w:color w:val="0D0D0D"/>
          <w:sz w:val="28"/>
          <w:szCs w:val="28"/>
        </w:rPr>
        <w:t>。</w:t>
      </w:r>
    </w:p>
    <w:p w:rsidR="00F90989" w:rsidRPr="009F6593" w:rsidRDefault="00F90989" w:rsidP="001D7372">
      <w:pPr>
        <w:pStyle w:val="a3"/>
        <w:snapToGrid w:val="0"/>
        <w:spacing w:line="480" w:lineRule="exact"/>
        <w:jc w:val="both"/>
        <w:rPr>
          <w:rFonts w:ascii="標楷體" w:eastAsia="標楷體" w:hAnsi="標楷體"/>
          <w:color w:val="0D0D0D"/>
          <w:sz w:val="28"/>
          <w:szCs w:val="28"/>
        </w:rPr>
      </w:pPr>
      <w:r>
        <w:rPr>
          <w:rFonts w:ascii="標楷體" w:eastAsia="標楷體" w:hAnsi="標楷體"/>
          <w:color w:val="0D0D0D"/>
          <w:sz w:val="28"/>
          <w:szCs w:val="28"/>
        </w:rPr>
        <w:t xml:space="preserve">     </w:t>
      </w:r>
      <w:r>
        <w:rPr>
          <w:rFonts w:ascii="標楷體" w:eastAsia="標楷體" w:hAnsi="標楷體" w:hint="eastAsia"/>
          <w:color w:val="0D0D0D"/>
          <w:sz w:val="28"/>
          <w:szCs w:val="28"/>
        </w:rPr>
        <w:t>（</w:t>
      </w:r>
      <w:r>
        <w:rPr>
          <w:rFonts w:ascii="標楷體" w:eastAsia="標楷體" w:hAnsi="標楷體"/>
          <w:color w:val="0D0D0D"/>
          <w:sz w:val="28"/>
          <w:szCs w:val="28"/>
        </w:rPr>
        <w:t>3</w:t>
      </w:r>
      <w:r>
        <w:rPr>
          <w:rFonts w:ascii="標楷體" w:eastAsia="標楷體" w:hAnsi="標楷體" w:hint="eastAsia"/>
          <w:color w:val="0D0D0D"/>
          <w:sz w:val="28"/>
          <w:szCs w:val="28"/>
        </w:rPr>
        <w:t>）</w:t>
      </w:r>
      <w:r w:rsidRPr="009F6593">
        <w:rPr>
          <w:rFonts w:ascii="標楷體" w:eastAsia="標楷體" w:hAnsi="標楷體" w:hint="eastAsia"/>
          <w:color w:val="0D0D0D"/>
          <w:sz w:val="28"/>
          <w:szCs w:val="28"/>
        </w:rPr>
        <w:t>存入或提領鉅額保證金、權利金，且迅速移轉者。</w:t>
      </w:r>
    </w:p>
    <w:p w:rsidR="00F90989" w:rsidRPr="00E952AE" w:rsidRDefault="00F90989" w:rsidP="009F6593">
      <w:pPr>
        <w:pStyle w:val="a3"/>
        <w:tabs>
          <w:tab w:val="left" w:pos="6928"/>
        </w:tabs>
        <w:snapToGrid w:val="0"/>
        <w:spacing w:line="480" w:lineRule="exact"/>
        <w:ind w:left="560" w:hangingChars="200" w:hanging="560"/>
        <w:jc w:val="both"/>
        <w:rPr>
          <w:rFonts w:ascii="標楷體" w:eastAsia="標楷體" w:hAnsi="標楷體"/>
          <w:color w:val="0D0D0D"/>
          <w:sz w:val="28"/>
          <w:szCs w:val="28"/>
        </w:rPr>
      </w:pPr>
      <w:r w:rsidRPr="00E952AE">
        <w:rPr>
          <w:rFonts w:ascii="標楷體" w:eastAsia="標楷體" w:hAnsi="標楷體" w:hint="eastAsia"/>
          <w:color w:val="0D0D0D"/>
          <w:sz w:val="28"/>
          <w:szCs w:val="28"/>
        </w:rPr>
        <w:t>四、</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應建立不同之客戶風險等級與分級</w:t>
      </w:r>
      <w:r>
        <w:rPr>
          <w:rFonts w:ascii="標楷體" w:eastAsia="標楷體" w:hAnsi="標楷體" w:hint="eastAsia"/>
          <w:color w:val="0D0D0D"/>
          <w:sz w:val="28"/>
          <w:szCs w:val="28"/>
        </w:rPr>
        <w:t>原</w:t>
      </w:r>
      <w:r w:rsidRPr="00E952AE">
        <w:rPr>
          <w:rFonts w:ascii="標楷體" w:eastAsia="標楷體" w:hAnsi="標楷體" w:hint="eastAsia"/>
          <w:color w:val="0D0D0D"/>
          <w:sz w:val="28"/>
          <w:szCs w:val="28"/>
        </w:rPr>
        <w:t>則。</w:t>
      </w:r>
      <w:r>
        <w:rPr>
          <w:rFonts w:ascii="標楷體" w:eastAsia="標楷體" w:hAnsi="標楷體"/>
          <w:color w:val="0D0D0D"/>
          <w:sz w:val="28"/>
          <w:szCs w:val="28"/>
        </w:rPr>
        <w:tab/>
      </w:r>
    </w:p>
    <w:p w:rsidR="00F90989" w:rsidRPr="00E952AE" w:rsidRDefault="00F90989" w:rsidP="00E952AE">
      <w:pPr>
        <w:pStyle w:val="a3"/>
        <w:snapToGrid w:val="0"/>
        <w:spacing w:line="480" w:lineRule="exact"/>
        <w:ind w:leftChars="236" w:left="574" w:hangingChars="3" w:hanging="8"/>
        <w:jc w:val="both"/>
        <w:rPr>
          <w:rFonts w:ascii="標楷體" w:eastAsia="標楷體" w:hAnsi="標楷體"/>
          <w:color w:val="0D0D0D"/>
          <w:sz w:val="28"/>
          <w:szCs w:val="28"/>
        </w:rPr>
      </w:pPr>
      <w:r w:rsidRPr="00E952AE">
        <w:rPr>
          <w:rFonts w:ascii="標楷體" w:eastAsia="標楷體" w:hAnsi="標楷體" w:hint="eastAsia"/>
          <w:color w:val="0D0D0D"/>
          <w:sz w:val="28"/>
          <w:szCs w:val="28"/>
        </w:rPr>
        <w:t>就客戶之風險等級，至少應有兩級（含）以上之風險</w:t>
      </w:r>
      <w:r>
        <w:rPr>
          <w:rFonts w:ascii="標楷體" w:eastAsia="標楷體" w:hAnsi="標楷體" w:hint="eastAsia"/>
          <w:color w:val="0D0D0D"/>
          <w:sz w:val="28"/>
          <w:szCs w:val="28"/>
        </w:rPr>
        <w:t>等</w:t>
      </w:r>
      <w:r w:rsidRPr="00E952AE">
        <w:rPr>
          <w:rFonts w:ascii="標楷體" w:eastAsia="標楷體" w:hAnsi="標楷體" w:hint="eastAsia"/>
          <w:color w:val="0D0D0D"/>
          <w:sz w:val="28"/>
          <w:szCs w:val="28"/>
        </w:rPr>
        <w:t>級，作為加強客戶審查措施及持續監控機制執行強度之依據。</w:t>
      </w:r>
    </w:p>
    <w:p w:rsidR="00F90989" w:rsidRPr="00E952AE" w:rsidRDefault="00F90989" w:rsidP="00E952AE">
      <w:pPr>
        <w:pStyle w:val="a3"/>
        <w:snapToGrid w:val="0"/>
        <w:spacing w:line="480" w:lineRule="exact"/>
        <w:ind w:leftChars="236" w:left="566"/>
        <w:jc w:val="both"/>
        <w:rPr>
          <w:rFonts w:ascii="標楷體" w:eastAsia="標楷體" w:hAnsi="標楷體"/>
          <w:color w:val="0D0D0D"/>
          <w:sz w:val="28"/>
          <w:szCs w:val="28"/>
        </w:rPr>
      </w:pPr>
    </w:p>
    <w:p w:rsidR="00F90989" w:rsidRPr="00E952AE" w:rsidRDefault="00F90989" w:rsidP="00E952AE">
      <w:pPr>
        <w:pStyle w:val="a3"/>
        <w:snapToGrid w:val="0"/>
        <w:spacing w:line="480" w:lineRule="exact"/>
        <w:ind w:left="560" w:hangingChars="200" w:hanging="560"/>
        <w:jc w:val="both"/>
        <w:rPr>
          <w:rFonts w:ascii="標楷體" w:eastAsia="標楷體" w:hAnsi="標楷體"/>
          <w:color w:val="0D0D0D"/>
          <w:sz w:val="28"/>
          <w:szCs w:val="28"/>
        </w:rPr>
      </w:pPr>
      <w:r w:rsidRPr="00E952AE">
        <w:rPr>
          <w:rFonts w:ascii="標楷體" w:eastAsia="標楷體" w:hAnsi="標楷體" w:hint="eastAsia"/>
          <w:color w:val="0D0D0D"/>
          <w:sz w:val="28"/>
          <w:szCs w:val="28"/>
        </w:rPr>
        <w:t>五、除外國擔任重要政治職務人士與受經濟制裁、外國政府或國際洗錢防制組織認定或追查之恐怖分子或團體直接視為高風險客戶外，</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得依自身之業務型態及考量相關風險因素，訂定高風險客戶之類型。</w:t>
      </w:r>
    </w:p>
    <w:p w:rsidR="00F90989" w:rsidRPr="00E952AE" w:rsidRDefault="00F90989" w:rsidP="00E952AE">
      <w:pPr>
        <w:pStyle w:val="a3"/>
        <w:snapToGrid w:val="0"/>
        <w:spacing w:line="480" w:lineRule="exact"/>
        <w:ind w:leftChars="236" w:left="574" w:hangingChars="3" w:hanging="8"/>
        <w:jc w:val="both"/>
        <w:rPr>
          <w:rFonts w:ascii="標楷體" w:eastAsia="標楷體" w:hAnsi="標楷體"/>
          <w:color w:val="0D0D0D"/>
          <w:sz w:val="28"/>
          <w:szCs w:val="28"/>
        </w:rPr>
      </w:pP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得依據完整之書面風險分析結果，自行</w:t>
      </w:r>
      <w:r>
        <w:rPr>
          <w:rFonts w:ascii="標楷體" w:eastAsia="標楷體" w:hAnsi="標楷體" w:hint="eastAsia"/>
          <w:color w:val="0D0D0D"/>
          <w:sz w:val="28"/>
          <w:szCs w:val="28"/>
        </w:rPr>
        <w:t>訂</w:t>
      </w:r>
      <w:r w:rsidRPr="00E952AE">
        <w:rPr>
          <w:rFonts w:ascii="標楷體" w:eastAsia="標楷體" w:hAnsi="標楷體" w:hint="eastAsia"/>
          <w:color w:val="0D0D0D"/>
          <w:sz w:val="28"/>
          <w:szCs w:val="28"/>
        </w:rPr>
        <w:t>定低風險客戶之類型，</w:t>
      </w:r>
      <w:r>
        <w:rPr>
          <w:rFonts w:ascii="標楷體" w:eastAsia="標楷體" w:hAnsi="標楷體" w:hint="eastAsia"/>
          <w:color w:val="0D0D0D"/>
          <w:sz w:val="28"/>
          <w:szCs w:val="28"/>
        </w:rPr>
        <w:t>其</w:t>
      </w:r>
      <w:r w:rsidRPr="00E952AE">
        <w:rPr>
          <w:rFonts w:ascii="標楷體" w:eastAsia="標楷體" w:hAnsi="標楷體" w:hint="eastAsia"/>
          <w:color w:val="0D0D0D"/>
          <w:sz w:val="28"/>
          <w:szCs w:val="28"/>
        </w:rPr>
        <w:t>書面風險分析結果須能充分說明此類型客戶與較低之風險因素相稱。</w:t>
      </w:r>
    </w:p>
    <w:p w:rsidR="00F90989" w:rsidRPr="00E952AE" w:rsidRDefault="00F90989" w:rsidP="00E952AE">
      <w:pPr>
        <w:pStyle w:val="a3"/>
        <w:snapToGrid w:val="0"/>
        <w:spacing w:line="480" w:lineRule="exact"/>
        <w:ind w:left="1456"/>
        <w:jc w:val="both"/>
        <w:rPr>
          <w:rFonts w:ascii="標楷體" w:eastAsia="標楷體" w:hAnsi="標楷體"/>
          <w:color w:val="0D0D0D"/>
          <w:sz w:val="28"/>
          <w:szCs w:val="28"/>
        </w:rPr>
      </w:pPr>
    </w:p>
    <w:p w:rsidR="00F90989" w:rsidRPr="00E952AE" w:rsidRDefault="00F90989" w:rsidP="00E952AE">
      <w:pPr>
        <w:pStyle w:val="a3"/>
        <w:snapToGrid w:val="0"/>
        <w:spacing w:line="480" w:lineRule="exact"/>
        <w:ind w:left="599" w:hangingChars="214" w:hanging="599"/>
        <w:jc w:val="both"/>
        <w:rPr>
          <w:rFonts w:ascii="標楷體" w:eastAsia="標楷體" w:hAnsi="標楷體"/>
          <w:color w:val="0D0D0D"/>
          <w:sz w:val="28"/>
          <w:szCs w:val="28"/>
        </w:rPr>
      </w:pPr>
      <w:r w:rsidRPr="00E952AE">
        <w:rPr>
          <w:rFonts w:ascii="標楷體" w:eastAsia="標楷體" w:hAnsi="標楷體" w:hint="eastAsia"/>
          <w:color w:val="0D0D0D"/>
          <w:sz w:val="28"/>
          <w:szCs w:val="28"/>
        </w:rPr>
        <w:t>六、對於新建立業務關係的客戶，</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w:t>
      </w:r>
      <w:r>
        <w:rPr>
          <w:rFonts w:ascii="標楷體" w:eastAsia="標楷體" w:hAnsi="標楷體" w:hint="eastAsia"/>
          <w:color w:val="0D0D0D"/>
          <w:sz w:val="28"/>
          <w:szCs w:val="28"/>
        </w:rPr>
        <w:t>於</w:t>
      </w:r>
      <w:r w:rsidRPr="00E952AE">
        <w:rPr>
          <w:rFonts w:ascii="標楷體" w:eastAsia="標楷體" w:hAnsi="標楷體" w:hint="eastAsia"/>
          <w:color w:val="0D0D0D"/>
          <w:sz w:val="28"/>
          <w:szCs w:val="28"/>
        </w:rPr>
        <w:t>建立業務關係時，確定其風險等級。</w:t>
      </w:r>
    </w:p>
    <w:p w:rsidR="00F90989" w:rsidRPr="00E952AE" w:rsidRDefault="00F90989" w:rsidP="00E952AE">
      <w:pPr>
        <w:pStyle w:val="a3"/>
        <w:snapToGrid w:val="0"/>
        <w:spacing w:line="480" w:lineRule="exact"/>
        <w:ind w:leftChars="234" w:left="563" w:hanging="1"/>
        <w:jc w:val="both"/>
        <w:rPr>
          <w:rFonts w:ascii="標楷體" w:eastAsia="標楷體" w:hAnsi="標楷體"/>
          <w:color w:val="0D0D0D"/>
          <w:sz w:val="28"/>
          <w:szCs w:val="28"/>
        </w:rPr>
      </w:pPr>
      <w:r w:rsidRPr="00E952AE">
        <w:rPr>
          <w:rFonts w:ascii="標楷體" w:eastAsia="標楷體" w:hAnsi="標楷體" w:hint="eastAsia"/>
          <w:color w:val="0D0D0D"/>
          <w:sz w:val="28"/>
          <w:szCs w:val="28"/>
        </w:rPr>
        <w:lastRenderedPageBreak/>
        <w:t>對於已確定風險等級之既有客戶，</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應依據其風險評估政策及程序，重新進行客戶風險評估。</w:t>
      </w:r>
    </w:p>
    <w:p w:rsidR="00F90989" w:rsidRPr="00E952AE" w:rsidRDefault="00F90989" w:rsidP="00E952AE">
      <w:pPr>
        <w:pStyle w:val="a3"/>
        <w:snapToGrid w:val="0"/>
        <w:spacing w:line="480" w:lineRule="exact"/>
        <w:ind w:leftChars="234" w:left="563" w:hanging="1"/>
        <w:jc w:val="both"/>
        <w:rPr>
          <w:rFonts w:ascii="標楷體" w:eastAsia="標楷體" w:hAnsi="標楷體"/>
          <w:color w:val="0D0D0D"/>
          <w:sz w:val="28"/>
          <w:szCs w:val="28"/>
        </w:rPr>
      </w:pPr>
      <w:r>
        <w:rPr>
          <w:rFonts w:ascii="標楷體" w:eastAsia="標楷體" w:hAnsi="標楷體" w:hint="eastAsia"/>
          <w:color w:val="0D0D0D"/>
          <w:sz w:val="28"/>
          <w:szCs w:val="28"/>
        </w:rPr>
        <w:t>期貨商於</w:t>
      </w:r>
      <w:r w:rsidRPr="00E952AE">
        <w:rPr>
          <w:rFonts w:ascii="標楷體" w:eastAsia="標楷體" w:hAnsi="標楷體" w:hint="eastAsia"/>
          <w:color w:val="0D0D0D"/>
          <w:sz w:val="28"/>
          <w:szCs w:val="28"/>
        </w:rPr>
        <w:t>建立業務關係時</w:t>
      </w:r>
      <w:r>
        <w:rPr>
          <w:rFonts w:ascii="標楷體" w:eastAsia="標楷體" w:hAnsi="標楷體" w:hint="eastAsia"/>
          <w:color w:val="0D0D0D"/>
          <w:sz w:val="28"/>
          <w:szCs w:val="28"/>
        </w:rPr>
        <w:t>，雖</w:t>
      </w:r>
      <w:r w:rsidRPr="00E952AE">
        <w:rPr>
          <w:rFonts w:ascii="標楷體" w:eastAsia="標楷體" w:hAnsi="標楷體" w:hint="eastAsia"/>
          <w:color w:val="0D0D0D"/>
          <w:sz w:val="28"/>
          <w:szCs w:val="28"/>
        </w:rPr>
        <w:t>已</w:t>
      </w:r>
      <w:r>
        <w:rPr>
          <w:rFonts w:ascii="標楷體" w:eastAsia="標楷體" w:hAnsi="標楷體" w:hint="eastAsia"/>
          <w:color w:val="0D0D0D"/>
          <w:sz w:val="28"/>
          <w:szCs w:val="28"/>
        </w:rPr>
        <w:t>進行</w:t>
      </w:r>
      <w:r w:rsidRPr="00E952AE">
        <w:rPr>
          <w:rFonts w:ascii="標楷體" w:eastAsia="標楷體" w:hAnsi="標楷體" w:hint="eastAsia"/>
          <w:color w:val="0D0D0D"/>
          <w:sz w:val="28"/>
          <w:szCs w:val="28"/>
        </w:rPr>
        <w:t>客戶風險評估，就某些客戶而言，必須待客戶進行交易</w:t>
      </w:r>
      <w:r>
        <w:rPr>
          <w:rFonts w:ascii="標楷體" w:eastAsia="標楷體" w:hAnsi="標楷體" w:hint="eastAsia"/>
          <w:color w:val="0D0D0D"/>
          <w:sz w:val="28"/>
          <w:szCs w:val="28"/>
        </w:rPr>
        <w:t>後</w:t>
      </w:r>
      <w:r w:rsidRPr="00E952AE">
        <w:rPr>
          <w:rFonts w:ascii="標楷體" w:eastAsia="標楷體" w:hAnsi="標楷體" w:hint="eastAsia"/>
          <w:color w:val="0D0D0D"/>
          <w:sz w:val="28"/>
          <w:szCs w:val="28"/>
        </w:rPr>
        <w:t>，其全面風險狀況才會變得明確，故於得知客戶身分與背景資訊有重大變動、或察覺客戶交易模式變更時，應適時調整客戶風險等級。</w:t>
      </w:r>
    </w:p>
    <w:p w:rsidR="00F90989" w:rsidRPr="00E952AE" w:rsidRDefault="00F90989" w:rsidP="00E952AE">
      <w:pPr>
        <w:pStyle w:val="a3"/>
        <w:snapToGrid w:val="0"/>
        <w:spacing w:line="480" w:lineRule="exact"/>
        <w:ind w:leftChars="234" w:left="563" w:hanging="1"/>
        <w:jc w:val="both"/>
        <w:rPr>
          <w:rFonts w:ascii="標楷體" w:eastAsia="標楷體" w:hAnsi="標楷體"/>
          <w:color w:val="0D0D0D"/>
          <w:sz w:val="28"/>
          <w:szCs w:val="28"/>
        </w:rPr>
      </w:pPr>
      <w:r w:rsidRPr="00E952AE">
        <w:rPr>
          <w:rFonts w:ascii="標楷體" w:eastAsia="標楷體" w:hAnsi="標楷體" w:hint="eastAsia"/>
          <w:color w:val="0D0D0D"/>
          <w:sz w:val="28"/>
          <w:szCs w:val="28"/>
        </w:rPr>
        <w:t>針對重新進行客戶風險評估之時點，舉例說明如下：</w:t>
      </w:r>
    </w:p>
    <w:p w:rsidR="00F90989" w:rsidRPr="00E952AE" w:rsidRDefault="00F90989" w:rsidP="00E952AE">
      <w:pPr>
        <w:pStyle w:val="a3"/>
        <w:numPr>
          <w:ilvl w:val="0"/>
          <w:numId w:val="10"/>
        </w:numPr>
        <w:tabs>
          <w:tab w:val="clear" w:pos="1727"/>
          <w:tab w:val="num" w:pos="1080"/>
        </w:tabs>
        <w:snapToGrid w:val="0"/>
        <w:spacing w:line="480" w:lineRule="exact"/>
        <w:ind w:left="1080" w:hanging="840"/>
        <w:jc w:val="both"/>
        <w:rPr>
          <w:rFonts w:ascii="標楷體" w:eastAsia="標楷體" w:hAnsi="標楷體"/>
          <w:color w:val="0D0D0D"/>
          <w:sz w:val="28"/>
          <w:szCs w:val="28"/>
        </w:rPr>
      </w:pPr>
      <w:r w:rsidRPr="00E952AE">
        <w:rPr>
          <w:rFonts w:ascii="標楷體" w:eastAsia="標楷體" w:hAnsi="標楷體" w:hint="eastAsia"/>
          <w:color w:val="0D0D0D"/>
          <w:sz w:val="28"/>
          <w:szCs w:val="28"/>
        </w:rPr>
        <w:t>客戶加開帳戶或新增業</w:t>
      </w:r>
      <w:r w:rsidRPr="00E952AE">
        <w:rPr>
          <w:rFonts w:ascii="標楷體" w:eastAsia="標楷體" w:hAnsi="標楷體"/>
          <w:color w:val="0D0D0D"/>
          <w:sz w:val="28"/>
          <w:szCs w:val="28"/>
        </w:rPr>
        <w:tab/>
      </w:r>
      <w:r w:rsidRPr="00E952AE">
        <w:rPr>
          <w:rFonts w:ascii="標楷體" w:eastAsia="標楷體" w:hAnsi="標楷體" w:hint="eastAsia"/>
          <w:color w:val="0D0D0D"/>
          <w:sz w:val="28"/>
          <w:szCs w:val="28"/>
        </w:rPr>
        <w:t>務往來關係時。</w:t>
      </w:r>
    </w:p>
    <w:p w:rsidR="00F90989" w:rsidRPr="00E952AE" w:rsidRDefault="00F90989" w:rsidP="00E952AE">
      <w:pPr>
        <w:pStyle w:val="a3"/>
        <w:numPr>
          <w:ilvl w:val="0"/>
          <w:numId w:val="10"/>
        </w:numPr>
        <w:tabs>
          <w:tab w:val="clear" w:pos="1727"/>
          <w:tab w:val="num" w:pos="1080"/>
        </w:tabs>
        <w:snapToGrid w:val="0"/>
        <w:spacing w:line="480" w:lineRule="exact"/>
        <w:ind w:left="1080" w:hanging="840"/>
        <w:jc w:val="both"/>
        <w:rPr>
          <w:rFonts w:ascii="標楷體" w:eastAsia="標楷體" w:hAnsi="標楷體"/>
          <w:color w:val="0D0D0D"/>
          <w:sz w:val="28"/>
          <w:szCs w:val="28"/>
        </w:rPr>
      </w:pPr>
      <w:r w:rsidRPr="00E952AE">
        <w:rPr>
          <w:rFonts w:ascii="標楷體" w:eastAsia="標楷體" w:hAnsi="標楷體" w:hint="eastAsia"/>
          <w:color w:val="0D0D0D"/>
          <w:sz w:val="28"/>
          <w:szCs w:val="28"/>
        </w:rPr>
        <w:t>依據客戶風險等級進行定期客戶審查時。</w:t>
      </w:r>
    </w:p>
    <w:p w:rsidR="00F90989" w:rsidRPr="00E952AE" w:rsidRDefault="00F90989" w:rsidP="00E952AE">
      <w:pPr>
        <w:pStyle w:val="a3"/>
        <w:numPr>
          <w:ilvl w:val="0"/>
          <w:numId w:val="10"/>
        </w:numPr>
        <w:tabs>
          <w:tab w:val="clear" w:pos="1727"/>
          <w:tab w:val="num" w:pos="1080"/>
        </w:tabs>
        <w:snapToGrid w:val="0"/>
        <w:spacing w:line="480" w:lineRule="exact"/>
        <w:ind w:left="1080" w:hanging="840"/>
        <w:jc w:val="both"/>
        <w:rPr>
          <w:rFonts w:ascii="標楷體" w:eastAsia="標楷體" w:hAnsi="標楷體"/>
          <w:color w:val="0D0D0D"/>
          <w:sz w:val="28"/>
          <w:szCs w:val="28"/>
        </w:rPr>
      </w:pPr>
      <w:r w:rsidRPr="00E952AE">
        <w:rPr>
          <w:rFonts w:ascii="標楷體" w:eastAsia="標楷體" w:hAnsi="標楷體" w:hint="eastAsia"/>
          <w:color w:val="0D0D0D"/>
          <w:sz w:val="28"/>
          <w:szCs w:val="28"/>
        </w:rPr>
        <w:t>經申報疑似洗錢交易等，</w:t>
      </w:r>
      <w:r>
        <w:rPr>
          <w:rFonts w:ascii="標楷體" w:eastAsia="標楷體" w:hAnsi="標楷體" w:hint="eastAsia"/>
          <w:color w:val="0D0D0D"/>
          <w:sz w:val="28"/>
          <w:szCs w:val="28"/>
        </w:rPr>
        <w:t>其</w:t>
      </w:r>
      <w:r w:rsidRPr="00E952AE">
        <w:rPr>
          <w:rFonts w:ascii="標楷體" w:eastAsia="標楷體" w:hAnsi="標楷體" w:hint="eastAsia"/>
          <w:color w:val="0D0D0D"/>
          <w:sz w:val="28"/>
          <w:szCs w:val="28"/>
        </w:rPr>
        <w:t>可能導致客戶風險</w:t>
      </w:r>
      <w:r>
        <w:rPr>
          <w:rFonts w:ascii="標楷體" w:eastAsia="標楷體" w:hAnsi="標楷體" w:hint="eastAsia"/>
          <w:color w:val="0D0D0D"/>
          <w:sz w:val="28"/>
          <w:szCs w:val="28"/>
        </w:rPr>
        <w:t>等級</w:t>
      </w:r>
      <w:r w:rsidRPr="00E952AE">
        <w:rPr>
          <w:rFonts w:ascii="標楷體" w:eastAsia="標楷體" w:hAnsi="標楷體" w:hint="eastAsia"/>
          <w:color w:val="0D0D0D"/>
          <w:sz w:val="28"/>
          <w:szCs w:val="28"/>
        </w:rPr>
        <w:t>發生實質性變化時。</w:t>
      </w:r>
    </w:p>
    <w:p w:rsidR="00F90989" w:rsidRPr="00E952AE" w:rsidRDefault="00F90989" w:rsidP="00E952AE">
      <w:pPr>
        <w:pStyle w:val="a3"/>
        <w:snapToGrid w:val="0"/>
        <w:spacing w:line="480" w:lineRule="exact"/>
        <w:ind w:left="1162"/>
        <w:jc w:val="both"/>
        <w:rPr>
          <w:rFonts w:ascii="標楷體" w:eastAsia="標楷體" w:hAnsi="標楷體"/>
          <w:color w:val="0D0D0D"/>
          <w:sz w:val="28"/>
          <w:szCs w:val="28"/>
        </w:rPr>
      </w:pPr>
    </w:p>
    <w:p w:rsidR="00F90989" w:rsidRPr="00E952AE" w:rsidRDefault="00F90989" w:rsidP="00E952AE">
      <w:pPr>
        <w:pStyle w:val="a3"/>
        <w:snapToGrid w:val="0"/>
        <w:spacing w:line="480" w:lineRule="exact"/>
        <w:ind w:left="599" w:hangingChars="214" w:hanging="599"/>
        <w:jc w:val="both"/>
        <w:rPr>
          <w:rFonts w:ascii="標楷體" w:eastAsia="標楷體" w:hAnsi="標楷體"/>
          <w:color w:val="0D0D0D"/>
          <w:sz w:val="28"/>
          <w:szCs w:val="28"/>
        </w:rPr>
      </w:pPr>
      <w:r w:rsidRPr="00E952AE">
        <w:rPr>
          <w:rFonts w:ascii="標楷體" w:eastAsia="標楷體" w:hAnsi="標楷體" w:hint="eastAsia"/>
          <w:color w:val="0D0D0D"/>
          <w:sz w:val="28"/>
          <w:szCs w:val="28"/>
        </w:rPr>
        <w:t>七、</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應依據已識別之風險，建立相對應的管控措施，以降低或預防該洗錢風險；</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應依據客戶的風險程度，決定不同風險等級客戶所適用的管控措施。</w:t>
      </w:r>
    </w:p>
    <w:p w:rsidR="00F90989" w:rsidRPr="00E952AE" w:rsidRDefault="00F90989" w:rsidP="00E952AE">
      <w:pPr>
        <w:pStyle w:val="a3"/>
        <w:snapToGrid w:val="0"/>
        <w:spacing w:line="480" w:lineRule="exact"/>
        <w:ind w:leftChars="236" w:left="574" w:hangingChars="3" w:hanging="8"/>
        <w:jc w:val="both"/>
        <w:rPr>
          <w:rFonts w:ascii="標楷體" w:eastAsia="標楷體" w:hAnsi="標楷體"/>
          <w:color w:val="0D0D0D"/>
          <w:sz w:val="28"/>
          <w:szCs w:val="28"/>
        </w:rPr>
      </w:pPr>
      <w:r w:rsidRPr="00E952AE">
        <w:rPr>
          <w:rFonts w:ascii="標楷體" w:eastAsia="標楷體" w:hAnsi="標楷體" w:hint="eastAsia"/>
          <w:color w:val="0D0D0D"/>
          <w:sz w:val="28"/>
          <w:szCs w:val="28"/>
        </w:rPr>
        <w:t>對於風險之管控措施，應由</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依據其風險防制政策、監控及程序，針對高風險客戶採取不同的管控措施，以有效管理和降低已知風險，舉例說明如下：</w:t>
      </w:r>
    </w:p>
    <w:p w:rsidR="00F90989" w:rsidRPr="00E952AE" w:rsidRDefault="00F90989" w:rsidP="00E952AE">
      <w:pPr>
        <w:pStyle w:val="a3"/>
        <w:numPr>
          <w:ilvl w:val="0"/>
          <w:numId w:val="11"/>
        </w:numPr>
        <w:tabs>
          <w:tab w:val="num" w:pos="1148"/>
        </w:tabs>
        <w:snapToGrid w:val="0"/>
        <w:spacing w:line="480" w:lineRule="exact"/>
        <w:ind w:left="1162" w:hanging="878"/>
        <w:jc w:val="both"/>
        <w:rPr>
          <w:rFonts w:ascii="標楷體" w:eastAsia="標楷體" w:hAnsi="標楷體"/>
          <w:color w:val="0D0D0D"/>
          <w:sz w:val="28"/>
          <w:szCs w:val="28"/>
        </w:rPr>
      </w:pPr>
      <w:r w:rsidRPr="00E952AE">
        <w:rPr>
          <w:rFonts w:ascii="標楷體" w:eastAsia="標楷體" w:hAnsi="標楷體" w:hint="eastAsia"/>
          <w:color w:val="0D0D0D"/>
          <w:sz w:val="28"/>
          <w:szCs w:val="28"/>
        </w:rPr>
        <w:t>進行加強客戶審查措施</w:t>
      </w:r>
      <w:r w:rsidRPr="00E952AE">
        <w:rPr>
          <w:rFonts w:ascii="標楷體" w:eastAsia="標楷體" w:hAnsi="標楷體"/>
          <w:color w:val="0D0D0D"/>
          <w:sz w:val="28"/>
          <w:szCs w:val="28"/>
        </w:rPr>
        <w:t>(Enhance Due Diligence)</w:t>
      </w:r>
      <w:r w:rsidRPr="00E952AE">
        <w:rPr>
          <w:rFonts w:ascii="標楷體" w:eastAsia="標楷體" w:hAnsi="標楷體" w:hint="eastAsia"/>
          <w:color w:val="0D0D0D"/>
          <w:sz w:val="28"/>
          <w:szCs w:val="28"/>
        </w:rPr>
        <w:t>，例如：</w:t>
      </w:r>
    </w:p>
    <w:p w:rsidR="00F90989" w:rsidRPr="00E952AE" w:rsidRDefault="00F90989" w:rsidP="00E952AE">
      <w:pPr>
        <w:pStyle w:val="a3"/>
        <w:numPr>
          <w:ilvl w:val="0"/>
          <w:numId w:val="8"/>
        </w:numPr>
        <w:tabs>
          <w:tab w:val="clear" w:pos="1474"/>
          <w:tab w:val="num" w:pos="1148"/>
        </w:tabs>
        <w:snapToGrid w:val="0"/>
        <w:spacing w:line="480" w:lineRule="exact"/>
        <w:ind w:left="1162" w:hanging="490"/>
        <w:jc w:val="both"/>
        <w:rPr>
          <w:rFonts w:ascii="標楷體" w:eastAsia="標楷體" w:hAnsi="標楷體"/>
          <w:color w:val="0D0D0D"/>
          <w:sz w:val="28"/>
          <w:szCs w:val="28"/>
        </w:rPr>
      </w:pPr>
      <w:r w:rsidRPr="00E952AE">
        <w:rPr>
          <w:rFonts w:ascii="標楷體" w:eastAsia="標楷體" w:hAnsi="標楷體" w:hint="eastAsia"/>
          <w:color w:val="0D0D0D"/>
          <w:sz w:val="28"/>
          <w:szCs w:val="28"/>
        </w:rPr>
        <w:t>取得開戶之相關資料：如預期的客戶交易活動等資料。</w:t>
      </w:r>
    </w:p>
    <w:p w:rsidR="00F90989" w:rsidRPr="00E952AE" w:rsidRDefault="00F90989" w:rsidP="00E952AE">
      <w:pPr>
        <w:pStyle w:val="a3"/>
        <w:numPr>
          <w:ilvl w:val="0"/>
          <w:numId w:val="8"/>
        </w:numPr>
        <w:tabs>
          <w:tab w:val="clear" w:pos="1474"/>
          <w:tab w:val="num" w:pos="1148"/>
        </w:tabs>
        <w:snapToGrid w:val="0"/>
        <w:spacing w:line="480" w:lineRule="exact"/>
        <w:ind w:left="1162" w:hanging="490"/>
        <w:jc w:val="both"/>
        <w:rPr>
          <w:rFonts w:ascii="標楷體" w:eastAsia="標楷體" w:hAnsi="標楷體"/>
          <w:color w:val="0D0D0D"/>
          <w:sz w:val="28"/>
          <w:szCs w:val="28"/>
        </w:rPr>
      </w:pPr>
      <w:r>
        <w:rPr>
          <w:rFonts w:ascii="標楷體" w:eastAsia="標楷體" w:hAnsi="標楷體" w:hint="eastAsia"/>
          <w:color w:val="0D0D0D"/>
          <w:sz w:val="28"/>
          <w:szCs w:val="28"/>
        </w:rPr>
        <w:t>進行客戶資產評估：取得客戶</w:t>
      </w:r>
      <w:r w:rsidRPr="00E952AE">
        <w:rPr>
          <w:rFonts w:ascii="標楷體" w:eastAsia="標楷體" w:hAnsi="標楷體" w:hint="eastAsia"/>
          <w:color w:val="0D0D0D"/>
          <w:sz w:val="28"/>
          <w:szCs w:val="28"/>
        </w:rPr>
        <w:t>往來資金來源、資產種類與數量</w:t>
      </w:r>
      <w:r>
        <w:rPr>
          <w:rFonts w:ascii="標楷體" w:eastAsia="標楷體" w:hAnsi="標楷體" w:hint="eastAsia"/>
          <w:color w:val="0D0D0D"/>
          <w:sz w:val="28"/>
          <w:szCs w:val="28"/>
        </w:rPr>
        <w:t>之相關資訊，</w:t>
      </w:r>
      <w:r w:rsidRPr="00E952AE">
        <w:rPr>
          <w:rFonts w:ascii="標楷體" w:eastAsia="標楷體" w:hAnsi="標楷體" w:hint="eastAsia"/>
          <w:color w:val="0D0D0D"/>
          <w:sz w:val="28"/>
          <w:szCs w:val="28"/>
        </w:rPr>
        <w:t>以對客戶進行資產評估。</w:t>
      </w:r>
    </w:p>
    <w:p w:rsidR="00F90989" w:rsidRPr="00E952AE" w:rsidRDefault="00F90989" w:rsidP="00E952AE">
      <w:pPr>
        <w:pStyle w:val="a3"/>
        <w:numPr>
          <w:ilvl w:val="0"/>
          <w:numId w:val="8"/>
        </w:numPr>
        <w:tabs>
          <w:tab w:val="clear" w:pos="1474"/>
          <w:tab w:val="num" w:pos="1148"/>
        </w:tabs>
        <w:snapToGrid w:val="0"/>
        <w:spacing w:line="480" w:lineRule="exact"/>
        <w:ind w:left="1162" w:hanging="490"/>
        <w:jc w:val="both"/>
        <w:rPr>
          <w:rFonts w:ascii="標楷體" w:eastAsia="標楷體" w:hAnsi="標楷體"/>
          <w:color w:val="0D0D0D"/>
          <w:sz w:val="28"/>
          <w:szCs w:val="28"/>
        </w:rPr>
      </w:pPr>
      <w:r>
        <w:rPr>
          <w:rFonts w:ascii="標楷體" w:eastAsia="標楷體" w:hAnsi="標楷體" w:hint="eastAsia"/>
          <w:color w:val="0D0D0D"/>
          <w:sz w:val="28"/>
          <w:szCs w:val="28"/>
        </w:rPr>
        <w:t>取得客戶進一步之商業資訊：</w:t>
      </w:r>
      <w:r w:rsidRPr="00E952AE">
        <w:rPr>
          <w:rFonts w:ascii="標楷體" w:eastAsia="標楷體" w:hAnsi="標楷體" w:hint="eastAsia"/>
          <w:color w:val="0D0D0D"/>
          <w:sz w:val="28"/>
          <w:szCs w:val="28"/>
        </w:rPr>
        <w:t>客戶最新商業活動資訊與業務往來之說明。</w:t>
      </w:r>
    </w:p>
    <w:p w:rsidR="00F90989" w:rsidRPr="00E952AE" w:rsidRDefault="00F90989" w:rsidP="00E952AE">
      <w:pPr>
        <w:pStyle w:val="a3"/>
        <w:numPr>
          <w:ilvl w:val="0"/>
          <w:numId w:val="8"/>
        </w:numPr>
        <w:tabs>
          <w:tab w:val="clear" w:pos="1474"/>
          <w:tab w:val="num" w:pos="1148"/>
        </w:tabs>
        <w:snapToGrid w:val="0"/>
        <w:spacing w:line="480" w:lineRule="exact"/>
        <w:ind w:left="1162" w:hanging="490"/>
        <w:jc w:val="both"/>
        <w:rPr>
          <w:rFonts w:ascii="標楷體" w:eastAsia="標楷體" w:hAnsi="標楷體"/>
          <w:color w:val="0D0D0D"/>
          <w:sz w:val="28"/>
          <w:szCs w:val="28"/>
        </w:rPr>
      </w:pPr>
      <w:r w:rsidRPr="00E952AE">
        <w:rPr>
          <w:rFonts w:ascii="標楷體" w:eastAsia="標楷體" w:hAnsi="標楷體" w:hint="eastAsia"/>
          <w:color w:val="0D0D0D"/>
          <w:sz w:val="28"/>
          <w:szCs w:val="28"/>
        </w:rPr>
        <w:t>取得將進行或已完成交易之說明與資訊。</w:t>
      </w:r>
    </w:p>
    <w:p w:rsidR="00F90989" w:rsidRPr="00E952AE" w:rsidRDefault="00F90989" w:rsidP="00E952AE">
      <w:pPr>
        <w:pStyle w:val="a3"/>
        <w:numPr>
          <w:ilvl w:val="0"/>
          <w:numId w:val="8"/>
        </w:numPr>
        <w:tabs>
          <w:tab w:val="clear" w:pos="1474"/>
          <w:tab w:val="num" w:pos="1148"/>
        </w:tabs>
        <w:snapToGrid w:val="0"/>
        <w:spacing w:line="480" w:lineRule="exact"/>
        <w:ind w:left="1162" w:hanging="490"/>
        <w:jc w:val="both"/>
        <w:rPr>
          <w:rFonts w:ascii="標楷體" w:eastAsia="標楷體" w:hAnsi="標楷體"/>
          <w:color w:val="0D0D0D"/>
          <w:sz w:val="28"/>
          <w:szCs w:val="28"/>
        </w:rPr>
      </w:pPr>
      <w:r w:rsidRPr="00E952AE">
        <w:rPr>
          <w:rFonts w:ascii="標楷體" w:eastAsia="標楷體" w:hAnsi="標楷體" w:hint="eastAsia"/>
          <w:color w:val="0D0D0D"/>
          <w:sz w:val="28"/>
          <w:szCs w:val="28"/>
        </w:rPr>
        <w:t>依據客戶型態進行實地或電話訪查，以確認客戶之實際營運情形。</w:t>
      </w:r>
    </w:p>
    <w:p w:rsidR="00F90989" w:rsidRPr="00E952AE" w:rsidRDefault="00F90989" w:rsidP="00E952AE">
      <w:pPr>
        <w:pStyle w:val="a3"/>
        <w:numPr>
          <w:ilvl w:val="0"/>
          <w:numId w:val="11"/>
        </w:numPr>
        <w:tabs>
          <w:tab w:val="num" w:pos="1148"/>
        </w:tabs>
        <w:snapToGrid w:val="0"/>
        <w:spacing w:line="480" w:lineRule="exact"/>
        <w:ind w:left="1162" w:hanging="878"/>
        <w:jc w:val="both"/>
        <w:rPr>
          <w:rFonts w:ascii="標楷體" w:eastAsia="標楷體" w:hAnsi="標楷體"/>
          <w:color w:val="0D0D0D"/>
          <w:sz w:val="28"/>
          <w:szCs w:val="28"/>
        </w:rPr>
      </w:pPr>
      <w:r w:rsidRPr="00E952AE">
        <w:rPr>
          <w:rFonts w:ascii="標楷體" w:eastAsia="標楷體" w:hAnsi="標楷體" w:hint="eastAsia"/>
          <w:color w:val="0D0D0D"/>
          <w:sz w:val="28"/>
          <w:szCs w:val="28"/>
        </w:rPr>
        <w:t>取得較高管理階層之核准。</w:t>
      </w:r>
    </w:p>
    <w:p w:rsidR="00F90989" w:rsidRPr="00E952AE" w:rsidRDefault="00F90989" w:rsidP="00E952AE">
      <w:pPr>
        <w:pStyle w:val="a3"/>
        <w:numPr>
          <w:ilvl w:val="0"/>
          <w:numId w:val="11"/>
        </w:numPr>
        <w:tabs>
          <w:tab w:val="num" w:pos="1148"/>
        </w:tabs>
        <w:snapToGrid w:val="0"/>
        <w:spacing w:line="480" w:lineRule="exact"/>
        <w:ind w:left="1162" w:hanging="878"/>
        <w:jc w:val="both"/>
        <w:rPr>
          <w:rFonts w:ascii="標楷體" w:eastAsia="標楷體" w:hAnsi="標楷體"/>
          <w:color w:val="0D0D0D"/>
          <w:sz w:val="28"/>
          <w:szCs w:val="28"/>
        </w:rPr>
      </w:pPr>
      <w:r w:rsidRPr="00E952AE">
        <w:rPr>
          <w:rFonts w:ascii="標楷體" w:eastAsia="標楷體" w:hAnsi="標楷體" w:hint="eastAsia"/>
          <w:color w:val="0D0D0D"/>
          <w:sz w:val="28"/>
          <w:szCs w:val="28"/>
        </w:rPr>
        <w:t>增加進行客戶審查之頻率。</w:t>
      </w:r>
    </w:p>
    <w:p w:rsidR="00F90989" w:rsidRPr="00E952AE" w:rsidRDefault="00F90989" w:rsidP="00E952AE">
      <w:pPr>
        <w:pStyle w:val="a3"/>
        <w:numPr>
          <w:ilvl w:val="0"/>
          <w:numId w:val="11"/>
        </w:numPr>
        <w:tabs>
          <w:tab w:val="num" w:pos="1148"/>
        </w:tabs>
        <w:snapToGrid w:val="0"/>
        <w:spacing w:line="480" w:lineRule="exact"/>
        <w:ind w:left="1162" w:hanging="878"/>
        <w:jc w:val="both"/>
        <w:rPr>
          <w:rFonts w:ascii="標楷體" w:eastAsia="標楷體" w:hAnsi="標楷體"/>
          <w:color w:val="0D0D0D"/>
          <w:sz w:val="28"/>
          <w:szCs w:val="28"/>
        </w:rPr>
      </w:pPr>
      <w:r w:rsidRPr="00E952AE">
        <w:rPr>
          <w:rFonts w:ascii="標楷體" w:eastAsia="標楷體" w:hAnsi="標楷體" w:hint="eastAsia"/>
          <w:color w:val="0D0D0D"/>
          <w:sz w:val="28"/>
          <w:szCs w:val="28"/>
        </w:rPr>
        <w:t>加強之監控機制。</w:t>
      </w:r>
    </w:p>
    <w:p w:rsidR="00F90989" w:rsidRPr="00E952AE" w:rsidRDefault="00F90989" w:rsidP="00E952AE">
      <w:pPr>
        <w:pStyle w:val="a3"/>
        <w:snapToGrid w:val="0"/>
        <w:spacing w:line="480" w:lineRule="exact"/>
        <w:ind w:leftChars="236" w:left="574" w:hangingChars="3" w:hanging="8"/>
        <w:jc w:val="both"/>
        <w:rPr>
          <w:rFonts w:ascii="標楷體" w:eastAsia="標楷體" w:hAnsi="標楷體"/>
          <w:color w:val="0D0D0D"/>
          <w:sz w:val="28"/>
          <w:szCs w:val="28"/>
        </w:rPr>
      </w:pP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對於</w:t>
      </w:r>
      <w:r>
        <w:rPr>
          <w:rFonts w:ascii="標楷體" w:eastAsia="標楷體" w:hAnsi="標楷體" w:hint="eastAsia"/>
          <w:color w:val="0D0D0D"/>
          <w:sz w:val="28"/>
          <w:szCs w:val="28"/>
        </w:rPr>
        <w:t>高</w:t>
      </w:r>
      <w:r w:rsidRPr="00E952AE">
        <w:rPr>
          <w:rFonts w:ascii="標楷體" w:eastAsia="標楷體" w:hAnsi="標楷體" w:hint="eastAsia"/>
          <w:color w:val="0D0D0D"/>
          <w:sz w:val="28"/>
          <w:szCs w:val="28"/>
        </w:rPr>
        <w:t>風險等級之客戶，應至少每二年進行一次客戶審查。</w:t>
      </w:r>
    </w:p>
    <w:p w:rsidR="00F90989" w:rsidRPr="00E952AE" w:rsidRDefault="00F90989" w:rsidP="00E952AE">
      <w:pPr>
        <w:pStyle w:val="a3"/>
        <w:snapToGrid w:val="0"/>
        <w:spacing w:line="480" w:lineRule="exact"/>
        <w:ind w:leftChars="236" w:left="574" w:hangingChars="3" w:hanging="8"/>
        <w:jc w:val="both"/>
        <w:rPr>
          <w:rFonts w:ascii="標楷體" w:eastAsia="標楷體" w:hAnsi="標楷體"/>
          <w:color w:val="0D0D0D"/>
          <w:sz w:val="28"/>
          <w:szCs w:val="28"/>
        </w:rPr>
      </w:pPr>
      <w:r w:rsidRPr="00E952AE">
        <w:rPr>
          <w:rFonts w:ascii="標楷體" w:eastAsia="標楷體" w:hAnsi="標楷體" w:hint="eastAsia"/>
          <w:color w:val="0D0D0D"/>
          <w:sz w:val="28"/>
          <w:szCs w:val="28"/>
        </w:rPr>
        <w:t>對於低風險等級之客戶，</w:t>
      </w:r>
      <w:r>
        <w:rPr>
          <w:rFonts w:ascii="標楷體" w:eastAsia="標楷體" w:hAnsi="標楷體" w:hint="eastAsia"/>
          <w:color w:val="0D0D0D"/>
          <w:sz w:val="28"/>
          <w:szCs w:val="28"/>
        </w:rPr>
        <w:t>期貨商得</w:t>
      </w:r>
      <w:r w:rsidRPr="00E952AE">
        <w:rPr>
          <w:rFonts w:ascii="標楷體" w:eastAsia="標楷體" w:hAnsi="標楷體" w:hint="eastAsia"/>
          <w:color w:val="0D0D0D"/>
          <w:sz w:val="28"/>
          <w:szCs w:val="28"/>
        </w:rPr>
        <w:t>依據其風險防制政策、監控及程序，採取簡化措施。簡化確認客戶身分措施得採行如下：</w:t>
      </w:r>
    </w:p>
    <w:p w:rsidR="00F90989" w:rsidRPr="00E952AE" w:rsidRDefault="00F90989" w:rsidP="00E952AE">
      <w:pPr>
        <w:pStyle w:val="a3"/>
        <w:numPr>
          <w:ilvl w:val="0"/>
          <w:numId w:val="14"/>
        </w:numPr>
        <w:tabs>
          <w:tab w:val="clear" w:pos="2520"/>
          <w:tab w:val="num" w:pos="1134"/>
        </w:tabs>
        <w:snapToGrid w:val="0"/>
        <w:spacing w:line="480" w:lineRule="exact"/>
        <w:ind w:hanging="2236"/>
        <w:jc w:val="both"/>
        <w:rPr>
          <w:rFonts w:ascii="標楷體" w:eastAsia="標楷體" w:hAnsi="標楷體"/>
          <w:color w:val="0D0D0D"/>
          <w:sz w:val="28"/>
          <w:szCs w:val="28"/>
        </w:rPr>
      </w:pPr>
      <w:r w:rsidRPr="00E952AE">
        <w:rPr>
          <w:rFonts w:ascii="標楷體" w:eastAsia="標楷體" w:hAnsi="標楷體" w:hint="eastAsia"/>
          <w:color w:val="0D0D0D"/>
          <w:sz w:val="28"/>
          <w:szCs w:val="28"/>
        </w:rPr>
        <w:t>降低客戶身分資訊更新之頻率。</w:t>
      </w:r>
    </w:p>
    <w:p w:rsidR="00F90989" w:rsidRPr="00E952AE" w:rsidRDefault="00F90989" w:rsidP="00E952AE">
      <w:pPr>
        <w:pStyle w:val="a3"/>
        <w:numPr>
          <w:ilvl w:val="0"/>
          <w:numId w:val="14"/>
        </w:numPr>
        <w:tabs>
          <w:tab w:val="num" w:pos="1148"/>
        </w:tabs>
        <w:snapToGrid w:val="0"/>
        <w:spacing w:line="480" w:lineRule="exact"/>
        <w:ind w:left="1162" w:hanging="878"/>
        <w:jc w:val="both"/>
        <w:rPr>
          <w:rFonts w:ascii="標楷體" w:eastAsia="標楷體" w:hAnsi="標楷體"/>
          <w:color w:val="0D0D0D"/>
          <w:sz w:val="28"/>
          <w:szCs w:val="28"/>
        </w:rPr>
      </w:pPr>
      <w:r w:rsidRPr="00E952AE">
        <w:rPr>
          <w:rFonts w:ascii="標楷體" w:eastAsia="標楷體" w:hAnsi="標楷體" w:hint="eastAsia"/>
          <w:color w:val="0D0D0D"/>
          <w:sz w:val="28"/>
          <w:szCs w:val="28"/>
        </w:rPr>
        <w:t>降低持續性監控之等級，並以合理的金額門檻作為審查交易之基礎。</w:t>
      </w:r>
    </w:p>
    <w:p w:rsidR="00F90989" w:rsidRPr="00E952AE" w:rsidRDefault="00F90989" w:rsidP="00E952AE">
      <w:pPr>
        <w:pStyle w:val="a3"/>
        <w:numPr>
          <w:ilvl w:val="0"/>
          <w:numId w:val="14"/>
        </w:numPr>
        <w:tabs>
          <w:tab w:val="num" w:pos="1148"/>
        </w:tabs>
        <w:snapToGrid w:val="0"/>
        <w:spacing w:line="480" w:lineRule="exact"/>
        <w:ind w:left="1162" w:hanging="878"/>
        <w:jc w:val="both"/>
        <w:rPr>
          <w:rFonts w:ascii="標楷體" w:eastAsia="標楷體" w:hAnsi="標楷體"/>
          <w:color w:val="0D0D0D"/>
          <w:sz w:val="28"/>
          <w:szCs w:val="28"/>
        </w:rPr>
      </w:pPr>
      <w:r w:rsidRPr="00E952AE">
        <w:rPr>
          <w:rFonts w:ascii="標楷體" w:eastAsia="標楷體" w:hAnsi="標楷體" w:hint="eastAsia"/>
          <w:color w:val="0D0D0D"/>
          <w:sz w:val="28"/>
          <w:szCs w:val="28"/>
        </w:rPr>
        <w:lastRenderedPageBreak/>
        <w:t>從交易類型或已建立業務往來關係可推斷其目的及性質者，得無須再針對瞭解業務往來關係之目的及其性質，蒐集特定資訊或執行特別措施。</w:t>
      </w:r>
    </w:p>
    <w:p w:rsidR="00F90989" w:rsidRPr="00E952AE" w:rsidRDefault="00F90989" w:rsidP="00E952AE">
      <w:pPr>
        <w:pStyle w:val="a3"/>
        <w:snapToGrid w:val="0"/>
        <w:spacing w:line="480" w:lineRule="exact"/>
        <w:ind w:leftChars="236" w:left="574" w:hangingChars="3" w:hanging="8"/>
        <w:jc w:val="both"/>
        <w:rPr>
          <w:rFonts w:ascii="標楷體" w:eastAsia="標楷體" w:hAnsi="標楷體"/>
          <w:color w:val="0D0D0D"/>
          <w:sz w:val="28"/>
          <w:szCs w:val="28"/>
        </w:rPr>
      </w:pPr>
      <w:r w:rsidRPr="00E952AE">
        <w:rPr>
          <w:rFonts w:ascii="標楷體" w:eastAsia="標楷體" w:hAnsi="標楷體" w:hint="eastAsia"/>
          <w:color w:val="0D0D0D"/>
          <w:sz w:val="28"/>
          <w:szCs w:val="28"/>
        </w:rPr>
        <w:t>但依據注意事項第四點第二款確認客戶身分時，遇有下列情形者，不得採取簡化確認客戶身分措施：</w:t>
      </w:r>
    </w:p>
    <w:p w:rsidR="00F90989" w:rsidRPr="00E952AE" w:rsidRDefault="00F90989" w:rsidP="00E952AE">
      <w:pPr>
        <w:pStyle w:val="a3"/>
        <w:numPr>
          <w:ilvl w:val="0"/>
          <w:numId w:val="12"/>
        </w:numPr>
        <w:snapToGrid w:val="0"/>
        <w:spacing w:line="480" w:lineRule="exact"/>
        <w:ind w:left="1106" w:hanging="866"/>
        <w:jc w:val="both"/>
        <w:rPr>
          <w:rFonts w:ascii="標楷體" w:eastAsia="標楷體" w:hAnsi="標楷體"/>
          <w:color w:val="0D0D0D"/>
          <w:sz w:val="28"/>
          <w:szCs w:val="28"/>
        </w:rPr>
      </w:pPr>
      <w:r w:rsidRPr="00E952AE">
        <w:rPr>
          <w:rFonts w:ascii="標楷體" w:eastAsia="標楷體" w:hAnsi="標楷體" w:hint="eastAsia"/>
          <w:color w:val="0D0D0D"/>
          <w:sz w:val="28"/>
          <w:szCs w:val="28"/>
        </w:rPr>
        <w:t>客戶來自未採取有效防制洗錢或打擊資助恐怖主義之高風險地區或國家，包括但不限於金融監督管理委員會函轉國際防制洗錢組織所公告防制洗錢與打擊資助恐怖主義有嚴重缺失之國家或地區，及其他未遵循或未充分遵循國際防制洗錢組織建議之國家或地區。</w:t>
      </w:r>
    </w:p>
    <w:p w:rsidR="00F90989" w:rsidRPr="00E952AE" w:rsidRDefault="00F90989" w:rsidP="00E952AE">
      <w:pPr>
        <w:pStyle w:val="a3"/>
        <w:numPr>
          <w:ilvl w:val="0"/>
          <w:numId w:val="12"/>
        </w:numPr>
        <w:snapToGrid w:val="0"/>
        <w:spacing w:line="480" w:lineRule="exact"/>
        <w:ind w:left="1106" w:hanging="866"/>
        <w:jc w:val="both"/>
        <w:rPr>
          <w:rFonts w:ascii="標楷體" w:eastAsia="標楷體" w:hAnsi="標楷體"/>
          <w:color w:val="0D0D0D"/>
          <w:sz w:val="28"/>
          <w:szCs w:val="28"/>
        </w:rPr>
      </w:pPr>
      <w:r w:rsidRPr="00E952AE">
        <w:rPr>
          <w:rFonts w:ascii="標楷體" w:eastAsia="標楷體" w:hAnsi="標楷體" w:hint="eastAsia"/>
          <w:color w:val="0D0D0D"/>
          <w:sz w:val="28"/>
          <w:szCs w:val="28"/>
        </w:rPr>
        <w:t>足資懷疑該客戶或交易涉及洗錢或資助恐怖主義者。</w:t>
      </w:r>
    </w:p>
    <w:p w:rsidR="00F90989" w:rsidRPr="00E952AE" w:rsidRDefault="00F90989" w:rsidP="00E952AE">
      <w:pPr>
        <w:pStyle w:val="a3"/>
        <w:snapToGrid w:val="0"/>
        <w:spacing w:line="480" w:lineRule="exact"/>
        <w:ind w:left="567"/>
        <w:jc w:val="both"/>
        <w:rPr>
          <w:rFonts w:ascii="標楷體" w:eastAsia="標楷體" w:hAnsi="標楷體"/>
          <w:color w:val="0D0D0D"/>
          <w:sz w:val="28"/>
          <w:szCs w:val="28"/>
        </w:rPr>
      </w:pPr>
    </w:p>
    <w:p w:rsidR="00F90989" w:rsidRPr="00E952AE" w:rsidRDefault="00F90989" w:rsidP="00E952AE">
      <w:pPr>
        <w:pStyle w:val="a3"/>
        <w:snapToGrid w:val="0"/>
        <w:spacing w:line="480" w:lineRule="exact"/>
        <w:ind w:left="560" w:hangingChars="200" w:hanging="560"/>
        <w:jc w:val="both"/>
        <w:rPr>
          <w:rFonts w:ascii="標楷體" w:eastAsia="標楷體" w:hAnsi="標楷體"/>
          <w:color w:val="0D0D0D"/>
          <w:sz w:val="28"/>
          <w:szCs w:val="28"/>
        </w:rPr>
      </w:pPr>
      <w:r w:rsidRPr="00E952AE">
        <w:rPr>
          <w:rFonts w:ascii="標楷體" w:eastAsia="標楷體" w:hAnsi="標楷體" w:hint="eastAsia"/>
          <w:color w:val="0D0D0D"/>
          <w:sz w:val="28"/>
          <w:szCs w:val="28"/>
        </w:rPr>
        <w:t>八、</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防制洗錢及資恐風險相關之政策、程序及控管應至少涵蓋下列內容：</w:t>
      </w:r>
    </w:p>
    <w:p w:rsidR="00F90989" w:rsidRPr="00E952AE" w:rsidRDefault="00F90989" w:rsidP="00E952AE">
      <w:pPr>
        <w:pStyle w:val="a3"/>
        <w:numPr>
          <w:ilvl w:val="0"/>
          <w:numId w:val="13"/>
        </w:numPr>
        <w:tabs>
          <w:tab w:val="clear" w:pos="1046"/>
          <w:tab w:val="num" w:pos="1106"/>
        </w:tabs>
        <w:snapToGrid w:val="0"/>
        <w:spacing w:line="480" w:lineRule="exact"/>
        <w:ind w:left="1092" w:hanging="868"/>
        <w:jc w:val="both"/>
        <w:rPr>
          <w:rFonts w:ascii="標楷體" w:eastAsia="標楷體" w:hAnsi="標楷體"/>
          <w:color w:val="0D0D0D"/>
          <w:sz w:val="28"/>
          <w:szCs w:val="28"/>
        </w:rPr>
      </w:pPr>
      <w:r w:rsidRPr="00E952AE">
        <w:rPr>
          <w:rFonts w:ascii="標楷體" w:eastAsia="標楷體" w:hAnsi="標楷體" w:hint="eastAsia"/>
          <w:color w:val="0D0D0D"/>
          <w:sz w:val="28"/>
          <w:szCs w:val="28"/>
        </w:rPr>
        <w:t>內部程序與管控措施。</w:t>
      </w:r>
    </w:p>
    <w:p w:rsidR="00F90989" w:rsidRPr="00E952AE" w:rsidRDefault="00F90989" w:rsidP="00E952AE">
      <w:pPr>
        <w:pStyle w:val="a3"/>
        <w:numPr>
          <w:ilvl w:val="0"/>
          <w:numId w:val="13"/>
        </w:numPr>
        <w:tabs>
          <w:tab w:val="clear" w:pos="1046"/>
          <w:tab w:val="num" w:pos="1106"/>
        </w:tabs>
        <w:snapToGrid w:val="0"/>
        <w:spacing w:line="480" w:lineRule="exact"/>
        <w:ind w:left="1092" w:hanging="868"/>
        <w:jc w:val="both"/>
        <w:rPr>
          <w:rFonts w:ascii="標楷體" w:eastAsia="標楷體" w:hAnsi="標楷體"/>
          <w:color w:val="0D0D0D"/>
          <w:sz w:val="28"/>
          <w:szCs w:val="28"/>
        </w:rPr>
      </w:pPr>
      <w:r w:rsidRPr="00E952AE">
        <w:rPr>
          <w:rFonts w:ascii="標楷體" w:eastAsia="標楷體" w:hAnsi="標楷體" w:hint="eastAsia"/>
          <w:color w:val="0D0D0D"/>
          <w:sz w:val="28"/>
          <w:szCs w:val="28"/>
        </w:rPr>
        <w:t>權責單位：</w:t>
      </w: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應指派</w:t>
      </w:r>
      <w:r>
        <w:rPr>
          <w:rFonts w:ascii="標楷體" w:eastAsia="標楷體" w:hAnsi="標楷體" w:hint="eastAsia"/>
          <w:color w:val="0D0D0D"/>
          <w:sz w:val="28"/>
          <w:szCs w:val="28"/>
        </w:rPr>
        <w:t>副總經理以上（</w:t>
      </w:r>
      <w:r>
        <w:rPr>
          <w:rFonts w:ascii="標楷體" w:eastAsia="標楷體" w:hAnsi="標楷體" w:hint="eastAsia"/>
          <w:sz w:val="28"/>
          <w:szCs w:val="28"/>
        </w:rPr>
        <w:t>或相當職位人員）</w:t>
      </w:r>
      <w:r>
        <w:rPr>
          <w:rFonts w:ascii="標楷體" w:eastAsia="標楷體" w:hAnsi="標楷體" w:hint="eastAsia"/>
          <w:color w:val="0D0D0D"/>
          <w:sz w:val="28"/>
          <w:szCs w:val="28"/>
        </w:rPr>
        <w:t>之</w:t>
      </w:r>
      <w:r w:rsidRPr="00E952AE">
        <w:rPr>
          <w:rFonts w:ascii="標楷體" w:eastAsia="標楷體" w:hAnsi="標楷體" w:hint="eastAsia"/>
          <w:color w:val="0D0D0D"/>
          <w:sz w:val="28"/>
          <w:szCs w:val="28"/>
        </w:rPr>
        <w:t>高階</w:t>
      </w:r>
      <w:r>
        <w:rPr>
          <w:rFonts w:ascii="標楷體" w:eastAsia="標楷體" w:hAnsi="標楷體" w:hint="eastAsia"/>
          <w:color w:val="0D0D0D"/>
          <w:sz w:val="28"/>
          <w:szCs w:val="28"/>
        </w:rPr>
        <w:t>主</w:t>
      </w:r>
      <w:r w:rsidRPr="00E952AE">
        <w:rPr>
          <w:rFonts w:ascii="標楷體" w:eastAsia="標楷體" w:hAnsi="標楷體" w:hint="eastAsia"/>
          <w:color w:val="0D0D0D"/>
          <w:sz w:val="28"/>
          <w:szCs w:val="28"/>
        </w:rPr>
        <w:t>管擔任專責人員，並指定專責單位協調監督防制洗錢及打擊資恐之風險管理事宜；專責人員應曾參加洗錢防制法訓練課程，新到任者應於六個月內參加該類訓練課程。</w:t>
      </w:r>
    </w:p>
    <w:p w:rsidR="00F90989" w:rsidRPr="00E952AE" w:rsidRDefault="00F90989" w:rsidP="00E952AE">
      <w:pPr>
        <w:pStyle w:val="a3"/>
        <w:numPr>
          <w:ilvl w:val="0"/>
          <w:numId w:val="13"/>
        </w:numPr>
        <w:tabs>
          <w:tab w:val="clear" w:pos="1046"/>
          <w:tab w:val="num" w:pos="1106"/>
        </w:tabs>
        <w:snapToGrid w:val="0"/>
        <w:spacing w:line="480" w:lineRule="exact"/>
        <w:ind w:left="1092" w:hanging="868"/>
        <w:jc w:val="both"/>
        <w:rPr>
          <w:rFonts w:ascii="標楷體" w:eastAsia="標楷體" w:hAnsi="標楷體"/>
          <w:color w:val="0D0D0D"/>
          <w:sz w:val="28"/>
          <w:szCs w:val="28"/>
        </w:rPr>
      </w:pPr>
      <w:r w:rsidRPr="00E952AE">
        <w:rPr>
          <w:rFonts w:ascii="標楷體" w:eastAsia="標楷體" w:hAnsi="標楷體" w:hint="eastAsia"/>
          <w:color w:val="0D0D0D"/>
          <w:sz w:val="28"/>
          <w:szCs w:val="28"/>
        </w:rPr>
        <w:t>獨立內部稽核制度，以評估洗錢防制法令遵循之標準作業程序是否有效運作。</w:t>
      </w:r>
      <w:r w:rsidRPr="00E952AE">
        <w:rPr>
          <w:rFonts w:ascii="標楷體" w:eastAsia="標楷體" w:hAnsi="標楷體"/>
          <w:color w:val="0D0D0D"/>
          <w:sz w:val="28"/>
          <w:szCs w:val="28"/>
        </w:rPr>
        <w:t xml:space="preserve"> </w:t>
      </w:r>
    </w:p>
    <w:p w:rsidR="00F90989" w:rsidRPr="00E952AE" w:rsidRDefault="00F90989" w:rsidP="00E952AE">
      <w:pPr>
        <w:pStyle w:val="a3"/>
        <w:numPr>
          <w:ilvl w:val="0"/>
          <w:numId w:val="13"/>
        </w:numPr>
        <w:tabs>
          <w:tab w:val="clear" w:pos="1046"/>
          <w:tab w:val="num" w:pos="1106"/>
        </w:tabs>
        <w:snapToGrid w:val="0"/>
        <w:spacing w:line="480" w:lineRule="exact"/>
        <w:ind w:left="1092" w:hanging="868"/>
        <w:jc w:val="both"/>
        <w:rPr>
          <w:rFonts w:ascii="標楷體" w:eastAsia="標楷體" w:hAnsi="標楷體"/>
          <w:color w:val="0D0D0D"/>
          <w:sz w:val="28"/>
          <w:szCs w:val="28"/>
        </w:rPr>
      </w:pPr>
      <w:r w:rsidRPr="00E952AE">
        <w:rPr>
          <w:rFonts w:ascii="標楷體" w:eastAsia="標楷體" w:hAnsi="標楷體" w:hint="eastAsia"/>
          <w:color w:val="0D0D0D"/>
          <w:sz w:val="28"/>
          <w:szCs w:val="28"/>
        </w:rPr>
        <w:t>審慎適當之員工遴選程序。</w:t>
      </w:r>
    </w:p>
    <w:p w:rsidR="00F90989" w:rsidRPr="00E952AE" w:rsidRDefault="00F90989" w:rsidP="00E952AE">
      <w:pPr>
        <w:pStyle w:val="a3"/>
        <w:numPr>
          <w:ilvl w:val="0"/>
          <w:numId w:val="13"/>
        </w:numPr>
        <w:tabs>
          <w:tab w:val="clear" w:pos="1046"/>
          <w:tab w:val="num" w:pos="1106"/>
        </w:tabs>
        <w:snapToGrid w:val="0"/>
        <w:spacing w:line="480" w:lineRule="exact"/>
        <w:ind w:left="1092" w:hanging="868"/>
        <w:jc w:val="both"/>
        <w:rPr>
          <w:rFonts w:ascii="標楷體" w:eastAsia="標楷體" w:hAnsi="標楷體"/>
          <w:color w:val="0D0D0D"/>
          <w:sz w:val="28"/>
          <w:szCs w:val="28"/>
        </w:rPr>
      </w:pPr>
      <w:r w:rsidRPr="00E952AE">
        <w:rPr>
          <w:rFonts w:ascii="標楷體" w:eastAsia="標楷體" w:hAnsi="標楷體" w:hint="eastAsia"/>
          <w:color w:val="0D0D0D"/>
          <w:sz w:val="28"/>
          <w:szCs w:val="28"/>
        </w:rPr>
        <w:t>持續性員工訓練計畫。</w:t>
      </w:r>
    </w:p>
    <w:p w:rsidR="00F90989" w:rsidRPr="00E952AE" w:rsidRDefault="00F90989" w:rsidP="00E952AE">
      <w:pPr>
        <w:pStyle w:val="a3"/>
        <w:snapToGrid w:val="0"/>
        <w:spacing w:line="480" w:lineRule="exact"/>
        <w:ind w:left="566"/>
        <w:jc w:val="both"/>
        <w:rPr>
          <w:rFonts w:ascii="標楷體" w:eastAsia="標楷體" w:hAnsi="標楷體"/>
          <w:color w:val="0D0D0D"/>
          <w:sz w:val="28"/>
          <w:szCs w:val="28"/>
        </w:rPr>
      </w:pP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所採取之管控措施的類型與程度，應與洗錢及資助恐怖主義風險，以及和業務規模相稱。</w:t>
      </w:r>
    </w:p>
    <w:p w:rsidR="00F90989" w:rsidRPr="00E952AE" w:rsidRDefault="00F90989" w:rsidP="00E952AE">
      <w:pPr>
        <w:pStyle w:val="a3"/>
        <w:snapToGrid w:val="0"/>
        <w:spacing w:line="480" w:lineRule="exact"/>
        <w:ind w:left="566"/>
        <w:jc w:val="both"/>
        <w:rPr>
          <w:rFonts w:ascii="標楷體" w:eastAsia="標楷體" w:hAnsi="標楷體"/>
          <w:color w:val="0D0D0D"/>
          <w:sz w:val="28"/>
          <w:szCs w:val="28"/>
        </w:rPr>
      </w:pPr>
      <w:r>
        <w:rPr>
          <w:rFonts w:ascii="標楷體" w:eastAsia="標楷體" w:hAnsi="標楷體" w:hint="eastAsia"/>
          <w:color w:val="0D0D0D"/>
          <w:sz w:val="28"/>
          <w:szCs w:val="28"/>
        </w:rPr>
        <w:t>期貨商</w:t>
      </w:r>
      <w:r w:rsidRPr="00E952AE">
        <w:rPr>
          <w:rFonts w:ascii="標楷體" w:eastAsia="標楷體" w:hAnsi="標楷體" w:hint="eastAsia"/>
          <w:color w:val="0D0D0D"/>
          <w:sz w:val="28"/>
          <w:szCs w:val="28"/>
        </w:rPr>
        <w:t>應確保其國外分支機構，在符合當地法令情形下，實施與母公司一致之防制洗錢及打擊資助恐怖主義措施</w:t>
      </w:r>
      <w:r>
        <w:rPr>
          <w:rFonts w:ascii="標楷體" w:eastAsia="標楷體" w:hAnsi="標楷體" w:hint="eastAsia"/>
          <w:color w:val="0D0D0D"/>
          <w:sz w:val="28"/>
          <w:szCs w:val="28"/>
        </w:rPr>
        <w:t>，如因國外分支機構所在國家法律限制無法執行，期貨商應採取合宜之額外措施，以管理</w:t>
      </w:r>
      <w:r w:rsidRPr="00697296">
        <w:rPr>
          <w:rFonts w:ascii="標楷體" w:eastAsia="標楷體" w:hAnsi="標楷體" w:hint="eastAsia"/>
          <w:bCs/>
          <w:color w:val="0D0D0D"/>
          <w:spacing w:val="30"/>
          <w:sz w:val="28"/>
          <w:szCs w:val="28"/>
        </w:rPr>
        <w:t>洗錢及資助恐怖主義風險</w:t>
      </w:r>
      <w:r>
        <w:rPr>
          <w:rFonts w:ascii="標楷體" w:eastAsia="標楷體" w:hAnsi="標楷體" w:hint="eastAsia"/>
          <w:bCs/>
          <w:color w:val="0D0D0D"/>
          <w:spacing w:val="30"/>
          <w:sz w:val="28"/>
          <w:szCs w:val="28"/>
        </w:rPr>
        <w:t>，</w:t>
      </w:r>
      <w:r>
        <w:rPr>
          <w:rFonts w:ascii="標楷體" w:eastAsia="標楷體" w:hAnsi="標楷體" w:hint="eastAsia"/>
          <w:color w:val="0D0D0D"/>
          <w:sz w:val="28"/>
          <w:szCs w:val="28"/>
        </w:rPr>
        <w:t>並陳報金融監督管理委員會</w:t>
      </w:r>
      <w:r w:rsidRPr="00E952AE">
        <w:rPr>
          <w:rFonts w:ascii="標楷體" w:eastAsia="標楷體" w:hAnsi="標楷體" w:hint="eastAsia"/>
          <w:color w:val="0D0D0D"/>
          <w:sz w:val="28"/>
          <w:szCs w:val="28"/>
        </w:rPr>
        <w:t>。</w:t>
      </w:r>
    </w:p>
    <w:p w:rsidR="00F90989" w:rsidRPr="00E952AE" w:rsidRDefault="00F90989" w:rsidP="00E952AE">
      <w:pPr>
        <w:pStyle w:val="a3"/>
        <w:snapToGrid w:val="0"/>
        <w:spacing w:line="480" w:lineRule="exact"/>
        <w:ind w:left="566"/>
        <w:jc w:val="both"/>
        <w:rPr>
          <w:rFonts w:ascii="標楷體" w:eastAsia="標楷體" w:hAnsi="標楷體"/>
          <w:color w:val="0D0D0D"/>
          <w:sz w:val="28"/>
          <w:szCs w:val="28"/>
        </w:rPr>
      </w:pPr>
      <w:r w:rsidRPr="00E952AE">
        <w:rPr>
          <w:rFonts w:ascii="標楷體" w:eastAsia="標楷體" w:hAnsi="標楷體" w:hint="eastAsia"/>
          <w:color w:val="0D0D0D"/>
          <w:sz w:val="28"/>
          <w:szCs w:val="28"/>
        </w:rPr>
        <w:t>在</w:t>
      </w:r>
      <w:r>
        <w:rPr>
          <w:rFonts w:ascii="標楷體" w:eastAsia="標楷體" w:hAnsi="標楷體" w:hint="eastAsia"/>
          <w:color w:val="0D0D0D"/>
          <w:sz w:val="28"/>
          <w:szCs w:val="28"/>
        </w:rPr>
        <w:t>臺</w:t>
      </w:r>
      <w:r w:rsidRPr="00E952AE">
        <w:rPr>
          <w:rFonts w:ascii="標楷體" w:eastAsia="標楷體" w:hAnsi="標楷體" w:hint="eastAsia"/>
          <w:color w:val="0D0D0D"/>
          <w:sz w:val="28"/>
          <w:szCs w:val="28"/>
        </w:rPr>
        <w:t>之外國金融機構集團分</w:t>
      </w:r>
      <w:r>
        <w:rPr>
          <w:rFonts w:ascii="標楷體" w:eastAsia="標楷體" w:hAnsi="標楷體" w:hint="eastAsia"/>
          <w:color w:val="0D0D0D"/>
          <w:sz w:val="28"/>
          <w:szCs w:val="28"/>
        </w:rPr>
        <w:t>公司</w:t>
      </w:r>
      <w:r w:rsidRPr="00E952AE">
        <w:rPr>
          <w:rFonts w:ascii="標楷體" w:eastAsia="標楷體" w:hAnsi="標楷體" w:hint="eastAsia"/>
          <w:color w:val="0D0D0D"/>
          <w:sz w:val="28"/>
          <w:szCs w:val="28"/>
        </w:rPr>
        <w:t>或子</w:t>
      </w:r>
      <w:r>
        <w:rPr>
          <w:rFonts w:ascii="標楷體" w:eastAsia="標楷體" w:hAnsi="標楷體" w:hint="eastAsia"/>
          <w:color w:val="0D0D0D"/>
          <w:sz w:val="28"/>
          <w:szCs w:val="28"/>
        </w:rPr>
        <w:t>公司</w:t>
      </w:r>
      <w:r w:rsidRPr="00E952AE">
        <w:rPr>
          <w:rFonts w:ascii="標楷體" w:eastAsia="標楷體" w:hAnsi="標楷體" w:hint="eastAsia"/>
          <w:color w:val="0D0D0D"/>
          <w:sz w:val="28"/>
          <w:szCs w:val="28"/>
        </w:rPr>
        <w:t>，若母集團已建立洗錢及資助恐怖主義風險防制政策、程序及管控措施且不違反我國法規情形者，在台分</w:t>
      </w:r>
      <w:r>
        <w:rPr>
          <w:rFonts w:ascii="標楷體" w:eastAsia="標楷體" w:hAnsi="標楷體" w:hint="eastAsia"/>
          <w:color w:val="0D0D0D"/>
          <w:sz w:val="28"/>
          <w:szCs w:val="28"/>
        </w:rPr>
        <w:t>公司</w:t>
      </w:r>
      <w:r w:rsidRPr="00E952AE">
        <w:rPr>
          <w:rFonts w:ascii="標楷體" w:eastAsia="標楷體" w:hAnsi="標楷體" w:hint="eastAsia"/>
          <w:color w:val="0D0D0D"/>
          <w:sz w:val="28"/>
          <w:szCs w:val="28"/>
        </w:rPr>
        <w:t>或子</w:t>
      </w:r>
      <w:r>
        <w:rPr>
          <w:rFonts w:ascii="標楷體" w:eastAsia="標楷體" w:hAnsi="標楷體" w:hint="eastAsia"/>
          <w:color w:val="0D0D0D"/>
          <w:sz w:val="28"/>
          <w:szCs w:val="28"/>
        </w:rPr>
        <w:t>公司</w:t>
      </w:r>
      <w:r w:rsidRPr="00E952AE">
        <w:rPr>
          <w:rFonts w:ascii="標楷體" w:eastAsia="標楷體" w:hAnsi="標楷體" w:hint="eastAsia"/>
          <w:color w:val="0D0D0D"/>
          <w:sz w:val="28"/>
          <w:szCs w:val="28"/>
        </w:rPr>
        <w:t>得適用母集團之洗錢與資恐風險防制政策、程序及管控措施。</w:t>
      </w:r>
    </w:p>
    <w:p w:rsidR="00F90989" w:rsidRPr="00E952AE" w:rsidRDefault="00F90989" w:rsidP="00E952AE">
      <w:pPr>
        <w:pStyle w:val="a3"/>
        <w:snapToGrid w:val="0"/>
        <w:spacing w:line="480" w:lineRule="exact"/>
        <w:ind w:leftChars="238" w:left="571"/>
        <w:jc w:val="both"/>
        <w:rPr>
          <w:rFonts w:ascii="標楷體" w:eastAsia="標楷體" w:hAnsi="標楷體"/>
          <w:color w:val="0D0D0D"/>
          <w:sz w:val="28"/>
          <w:szCs w:val="28"/>
        </w:rPr>
      </w:pPr>
    </w:p>
    <w:p w:rsidR="00F90989" w:rsidRPr="00E952AE" w:rsidRDefault="00F90989" w:rsidP="00E952AE">
      <w:pPr>
        <w:spacing w:line="480" w:lineRule="exact"/>
        <w:rPr>
          <w:rFonts w:ascii="標楷體" w:eastAsia="標楷體" w:hAnsi="標楷體"/>
          <w:color w:val="0D0D0D"/>
          <w:sz w:val="28"/>
          <w:szCs w:val="28"/>
        </w:rPr>
      </w:pPr>
      <w:r w:rsidRPr="00E952AE">
        <w:rPr>
          <w:rFonts w:ascii="標楷體" w:eastAsia="標楷體" w:hAnsi="標楷體"/>
          <w:color w:val="0D0D0D"/>
          <w:sz w:val="28"/>
          <w:szCs w:val="28"/>
        </w:rPr>
        <w:br w:type="page"/>
      </w:r>
      <w:r w:rsidRPr="00E952AE">
        <w:rPr>
          <w:rFonts w:ascii="標楷體" w:eastAsia="標楷體" w:hAnsi="標楷體" w:hint="eastAsia"/>
          <w:color w:val="0D0D0D"/>
          <w:sz w:val="28"/>
          <w:szCs w:val="28"/>
        </w:rPr>
        <w:lastRenderedPageBreak/>
        <w:t>附錄：訂定高洗錢及資恐風險區域名單之參考依據</w:t>
      </w:r>
    </w:p>
    <w:p w:rsidR="00F90989" w:rsidRPr="00E952AE" w:rsidRDefault="00F90989" w:rsidP="00E952AE">
      <w:pPr>
        <w:pStyle w:val="a3"/>
        <w:numPr>
          <w:ilvl w:val="0"/>
          <w:numId w:val="9"/>
        </w:numPr>
        <w:snapToGrid w:val="0"/>
        <w:spacing w:line="480" w:lineRule="exact"/>
        <w:jc w:val="both"/>
        <w:rPr>
          <w:rFonts w:ascii="標楷體" w:eastAsia="標楷體" w:hAnsi="標楷體"/>
          <w:color w:val="0D0D0D"/>
          <w:sz w:val="28"/>
          <w:szCs w:val="28"/>
        </w:rPr>
      </w:pPr>
      <w:r w:rsidRPr="00E952AE">
        <w:rPr>
          <w:rFonts w:ascii="標楷體" w:eastAsia="標楷體" w:hAnsi="標楷體" w:hint="eastAsia"/>
          <w:color w:val="0D0D0D"/>
          <w:sz w:val="28"/>
          <w:szCs w:val="28"/>
        </w:rPr>
        <w:t>金融監督管理委員會函轉國際防制洗錢組織所公告防制洗錢與打擊資助恐怖份子有嚴重缺失之國家或地區、及其他未遵循或未充分遵循國際防制洗錢組織建議之國家或地區。</w:t>
      </w:r>
    </w:p>
    <w:p w:rsidR="00F90989" w:rsidRPr="00E952AE" w:rsidRDefault="00F90989" w:rsidP="00E952AE">
      <w:pPr>
        <w:pStyle w:val="a3"/>
        <w:numPr>
          <w:ilvl w:val="0"/>
          <w:numId w:val="9"/>
        </w:numPr>
        <w:snapToGrid w:val="0"/>
        <w:spacing w:line="480" w:lineRule="exact"/>
        <w:jc w:val="both"/>
        <w:rPr>
          <w:rFonts w:ascii="標楷體" w:eastAsia="標楷體" w:hAnsi="標楷體"/>
          <w:color w:val="0D0D0D"/>
          <w:sz w:val="28"/>
          <w:szCs w:val="28"/>
        </w:rPr>
      </w:pPr>
      <w:r w:rsidRPr="00E952AE">
        <w:rPr>
          <w:rFonts w:ascii="標楷體" w:eastAsia="標楷體" w:hAnsi="標楷體" w:hint="eastAsia"/>
          <w:color w:val="0D0D0D"/>
          <w:sz w:val="28"/>
          <w:szCs w:val="28"/>
        </w:rPr>
        <w:t>受聯合國、美國或歐盟經濟制裁或採取其他類似措施的國家或地區。</w:t>
      </w:r>
    </w:p>
    <w:p w:rsidR="00F90989" w:rsidRPr="00E952AE" w:rsidRDefault="00F90989" w:rsidP="00E952AE">
      <w:pPr>
        <w:pStyle w:val="a3"/>
        <w:numPr>
          <w:ilvl w:val="0"/>
          <w:numId w:val="9"/>
        </w:numPr>
        <w:snapToGrid w:val="0"/>
        <w:spacing w:line="480" w:lineRule="exact"/>
        <w:jc w:val="both"/>
        <w:rPr>
          <w:rFonts w:ascii="標楷體" w:eastAsia="標楷體" w:hAnsi="標楷體"/>
          <w:color w:val="0D0D0D"/>
          <w:sz w:val="28"/>
          <w:szCs w:val="28"/>
        </w:rPr>
      </w:pPr>
      <w:r w:rsidRPr="00E952AE">
        <w:rPr>
          <w:rFonts w:ascii="標楷體" w:eastAsia="標楷體" w:hAnsi="標楷體" w:hint="eastAsia"/>
          <w:color w:val="0D0D0D"/>
          <w:sz w:val="28"/>
          <w:szCs w:val="28"/>
        </w:rPr>
        <w:t>國際貨幣基金組織</w:t>
      </w:r>
      <w:r w:rsidRPr="00E952AE">
        <w:rPr>
          <w:rFonts w:ascii="標楷體" w:eastAsia="標楷體" w:hAnsi="標楷體"/>
          <w:color w:val="0D0D0D"/>
          <w:sz w:val="28"/>
          <w:szCs w:val="28"/>
        </w:rPr>
        <w:t xml:space="preserve"> (International Monetary Fund) </w:t>
      </w:r>
      <w:r w:rsidRPr="00E952AE">
        <w:rPr>
          <w:rFonts w:ascii="標楷體" w:eastAsia="標楷體" w:hAnsi="標楷體" w:hint="eastAsia"/>
          <w:color w:val="0D0D0D"/>
          <w:sz w:val="28"/>
          <w:szCs w:val="28"/>
        </w:rPr>
        <w:t>所公布之境外金融中心的國家或地區。</w:t>
      </w:r>
    </w:p>
    <w:p w:rsidR="00F90989" w:rsidRPr="00E952AE" w:rsidRDefault="00F90989" w:rsidP="00E952AE">
      <w:pPr>
        <w:pStyle w:val="a3"/>
        <w:numPr>
          <w:ilvl w:val="0"/>
          <w:numId w:val="9"/>
        </w:numPr>
        <w:snapToGrid w:val="0"/>
        <w:spacing w:line="480" w:lineRule="exact"/>
        <w:jc w:val="both"/>
        <w:rPr>
          <w:rFonts w:ascii="標楷體" w:eastAsia="標楷體" w:hAnsi="標楷體"/>
          <w:color w:val="0D0D0D"/>
          <w:sz w:val="28"/>
          <w:szCs w:val="28"/>
        </w:rPr>
      </w:pPr>
      <w:r w:rsidRPr="00E952AE">
        <w:rPr>
          <w:rFonts w:ascii="標楷體" w:eastAsia="標楷體" w:hAnsi="標楷體" w:hint="eastAsia"/>
          <w:color w:val="0D0D0D"/>
          <w:sz w:val="28"/>
          <w:szCs w:val="28"/>
        </w:rPr>
        <w:t>國際刑事警察組織</w:t>
      </w:r>
      <w:r w:rsidRPr="00E952AE">
        <w:rPr>
          <w:rFonts w:ascii="標楷體" w:eastAsia="標楷體" w:hAnsi="標楷體"/>
          <w:color w:val="0D0D0D"/>
          <w:sz w:val="28"/>
          <w:szCs w:val="28"/>
        </w:rPr>
        <w:t xml:space="preserve"> (International Criminal Police Organization) </w:t>
      </w:r>
      <w:r w:rsidRPr="00E952AE">
        <w:rPr>
          <w:rFonts w:ascii="標楷體" w:eastAsia="標楷體" w:hAnsi="標楷體" w:hint="eastAsia"/>
          <w:color w:val="0D0D0D"/>
          <w:sz w:val="28"/>
          <w:szCs w:val="28"/>
        </w:rPr>
        <w:t>所公布之毒品主要來源、運輸或使用的國家或地區。</w:t>
      </w:r>
    </w:p>
    <w:p w:rsidR="00F90989" w:rsidRPr="00E952AE" w:rsidRDefault="00F90989" w:rsidP="00E952AE">
      <w:pPr>
        <w:pStyle w:val="a3"/>
        <w:numPr>
          <w:ilvl w:val="0"/>
          <w:numId w:val="9"/>
        </w:numPr>
        <w:snapToGrid w:val="0"/>
        <w:spacing w:line="480" w:lineRule="exact"/>
        <w:jc w:val="both"/>
        <w:rPr>
          <w:rFonts w:ascii="標楷體" w:eastAsia="標楷體" w:hAnsi="標楷體"/>
          <w:color w:val="0D0D0D"/>
          <w:sz w:val="28"/>
          <w:szCs w:val="28"/>
        </w:rPr>
      </w:pPr>
      <w:r w:rsidRPr="00E952AE">
        <w:rPr>
          <w:rFonts w:ascii="標楷體" w:eastAsia="標楷體" w:hAnsi="標楷體" w:hint="eastAsia"/>
          <w:color w:val="0D0D0D"/>
          <w:sz w:val="28"/>
          <w:szCs w:val="28"/>
        </w:rPr>
        <w:t>美國財政部愛國者法案</w:t>
      </w:r>
      <w:r w:rsidRPr="00E952AE">
        <w:rPr>
          <w:rFonts w:ascii="標楷體" w:eastAsia="標楷體" w:hAnsi="標楷體"/>
          <w:color w:val="0D0D0D"/>
          <w:sz w:val="28"/>
          <w:szCs w:val="28"/>
        </w:rPr>
        <w:t xml:space="preserve">Section 311 (USA PATRIOT Act’s Section 311) </w:t>
      </w:r>
      <w:r w:rsidRPr="00E952AE">
        <w:rPr>
          <w:rFonts w:ascii="標楷體" w:eastAsia="標楷體" w:hAnsi="標楷體" w:hint="eastAsia"/>
          <w:color w:val="0D0D0D"/>
          <w:sz w:val="28"/>
          <w:szCs w:val="28"/>
        </w:rPr>
        <w:t>指定有重大洗錢疑慮之國家或地區。</w:t>
      </w:r>
    </w:p>
    <w:p w:rsidR="00F90989" w:rsidRPr="00E952AE" w:rsidRDefault="00F90989" w:rsidP="00E952AE">
      <w:pPr>
        <w:spacing w:line="480" w:lineRule="exact"/>
        <w:rPr>
          <w:rFonts w:ascii="標楷體" w:eastAsia="標楷體" w:hAnsi="標楷體"/>
          <w:color w:val="0D0D0D"/>
          <w:sz w:val="28"/>
          <w:szCs w:val="28"/>
        </w:rPr>
      </w:pPr>
    </w:p>
    <w:sectPr w:rsidR="00F90989" w:rsidRPr="00E952AE" w:rsidSect="00DB1007">
      <w:footerReference w:type="even" r:id="rId8"/>
      <w:footerReference w:type="default" r:id="rId9"/>
      <w:pgSz w:w="11906" w:h="16838" w:code="9"/>
      <w:pgMar w:top="1134" w:right="851" w:bottom="1134" w:left="851" w:header="0" w:footer="748" w:gutter="0"/>
      <w:pgNumType w:start="1"/>
      <w:cols w:space="425"/>
      <w:docGrid w:type="lines" w:linePitch="36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E9F" w:rsidRDefault="00136E9F">
      <w:r>
        <w:separator/>
      </w:r>
    </w:p>
  </w:endnote>
  <w:endnote w:type="continuationSeparator" w:id="0">
    <w:p w:rsidR="00136E9F" w:rsidRDefault="00136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989" w:rsidRDefault="00F90989" w:rsidP="00DB100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90989" w:rsidRDefault="00F9098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989" w:rsidRDefault="00F90989" w:rsidP="004275C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E61400">
      <w:rPr>
        <w:rStyle w:val="a7"/>
        <w:noProof/>
      </w:rPr>
      <w:t>1</w:t>
    </w:r>
    <w:r>
      <w:rPr>
        <w:rStyle w:val="a7"/>
      </w:rPr>
      <w:fldChar w:fldCharType="end"/>
    </w:r>
  </w:p>
  <w:p w:rsidR="00F90989" w:rsidRDefault="00F90989" w:rsidP="001D5500">
    <w:pPr>
      <w:pStyle w:val="a5"/>
      <w:framePr w:wrap="around" w:vAnchor="text" w:hAnchor="margin" w:xAlign="center" w:y="1"/>
      <w:rPr>
        <w:rStyle w:val="a7"/>
      </w:rPr>
    </w:pPr>
  </w:p>
  <w:p w:rsidR="00F90989" w:rsidRDefault="00F9098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E9F" w:rsidRDefault="00136E9F">
      <w:r>
        <w:separator/>
      </w:r>
    </w:p>
  </w:footnote>
  <w:footnote w:type="continuationSeparator" w:id="0">
    <w:p w:rsidR="00136E9F" w:rsidRDefault="00136E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7F44"/>
    <w:multiLevelType w:val="hybridMultilevel"/>
    <w:tmpl w:val="1EF28A62"/>
    <w:lvl w:ilvl="0" w:tplc="E9DAF622">
      <w:start w:val="1"/>
      <w:numFmt w:val="ideographDigital"/>
      <w:lvlText w:val="（%1）"/>
      <w:lvlJc w:val="left"/>
      <w:pPr>
        <w:tabs>
          <w:tab w:val="num" w:pos="2520"/>
        </w:tabs>
        <w:ind w:left="252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7EB000D"/>
    <w:multiLevelType w:val="hybridMultilevel"/>
    <w:tmpl w:val="0682F86A"/>
    <w:lvl w:ilvl="0" w:tplc="E9DAF622">
      <w:start w:val="1"/>
      <w:numFmt w:val="ideographDigital"/>
      <w:lvlText w:val="（%1）"/>
      <w:lvlJc w:val="left"/>
      <w:pPr>
        <w:tabs>
          <w:tab w:val="num" w:pos="1046"/>
        </w:tabs>
        <w:ind w:left="1046" w:hanging="480"/>
      </w:pPr>
      <w:rPr>
        <w:rFonts w:cs="Times New Roman" w:hint="eastAsia"/>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8AE313E"/>
    <w:multiLevelType w:val="hybridMultilevel"/>
    <w:tmpl w:val="8B34EDDA"/>
    <w:lvl w:ilvl="0" w:tplc="F880E286">
      <w:start w:val="1"/>
      <w:numFmt w:val="decimal"/>
      <w:lvlText w:val="%1、"/>
      <w:lvlJc w:val="left"/>
      <w:pPr>
        <w:ind w:left="480" w:hanging="480"/>
      </w:pPr>
      <w:rPr>
        <w:rFonts w:eastAsia="標楷體" w:cs="Times New Roman" w:hint="eastAsia"/>
        <w:b w:val="0"/>
        <w:i w:val="0"/>
        <w:color w:val="auto"/>
        <w:sz w:val="28"/>
        <w:szCs w:val="28"/>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E8F3F32"/>
    <w:multiLevelType w:val="hybridMultilevel"/>
    <w:tmpl w:val="42AE7FDA"/>
    <w:lvl w:ilvl="0" w:tplc="E9DAF622">
      <w:start w:val="1"/>
      <w:numFmt w:val="ideographDigital"/>
      <w:lvlText w:val="（%1）"/>
      <w:lvlJc w:val="left"/>
      <w:pPr>
        <w:tabs>
          <w:tab w:val="num" w:pos="1046"/>
        </w:tabs>
        <w:ind w:left="1046" w:hanging="480"/>
      </w:pPr>
      <w:rPr>
        <w:rFonts w:cs="Times New Roman" w:hint="eastAsia"/>
      </w:rPr>
    </w:lvl>
    <w:lvl w:ilvl="1" w:tplc="04090019" w:tentative="1">
      <w:start w:val="1"/>
      <w:numFmt w:val="ideographTraditional"/>
      <w:lvlText w:val="%2、"/>
      <w:lvlJc w:val="left"/>
      <w:pPr>
        <w:tabs>
          <w:tab w:val="num" w:pos="279"/>
        </w:tabs>
        <w:ind w:left="279" w:hanging="480"/>
      </w:pPr>
      <w:rPr>
        <w:rFonts w:cs="Times New Roman"/>
      </w:rPr>
    </w:lvl>
    <w:lvl w:ilvl="2" w:tplc="0409001B" w:tentative="1">
      <w:start w:val="1"/>
      <w:numFmt w:val="lowerRoman"/>
      <w:lvlText w:val="%3."/>
      <w:lvlJc w:val="right"/>
      <w:pPr>
        <w:tabs>
          <w:tab w:val="num" w:pos="759"/>
        </w:tabs>
        <w:ind w:left="759" w:hanging="480"/>
      </w:pPr>
      <w:rPr>
        <w:rFonts w:cs="Times New Roman"/>
      </w:rPr>
    </w:lvl>
    <w:lvl w:ilvl="3" w:tplc="0409000F" w:tentative="1">
      <w:start w:val="1"/>
      <w:numFmt w:val="decimal"/>
      <w:lvlText w:val="%4."/>
      <w:lvlJc w:val="left"/>
      <w:pPr>
        <w:tabs>
          <w:tab w:val="num" w:pos="1239"/>
        </w:tabs>
        <w:ind w:left="1239" w:hanging="480"/>
      </w:pPr>
      <w:rPr>
        <w:rFonts w:cs="Times New Roman"/>
      </w:rPr>
    </w:lvl>
    <w:lvl w:ilvl="4" w:tplc="04090019" w:tentative="1">
      <w:start w:val="1"/>
      <w:numFmt w:val="ideographTraditional"/>
      <w:lvlText w:val="%5、"/>
      <w:lvlJc w:val="left"/>
      <w:pPr>
        <w:tabs>
          <w:tab w:val="num" w:pos="1719"/>
        </w:tabs>
        <w:ind w:left="1719" w:hanging="480"/>
      </w:pPr>
      <w:rPr>
        <w:rFonts w:cs="Times New Roman"/>
      </w:rPr>
    </w:lvl>
    <w:lvl w:ilvl="5" w:tplc="0409001B" w:tentative="1">
      <w:start w:val="1"/>
      <w:numFmt w:val="lowerRoman"/>
      <w:lvlText w:val="%6."/>
      <w:lvlJc w:val="right"/>
      <w:pPr>
        <w:tabs>
          <w:tab w:val="num" w:pos="2199"/>
        </w:tabs>
        <w:ind w:left="2199" w:hanging="480"/>
      </w:pPr>
      <w:rPr>
        <w:rFonts w:cs="Times New Roman"/>
      </w:rPr>
    </w:lvl>
    <w:lvl w:ilvl="6" w:tplc="0409000F" w:tentative="1">
      <w:start w:val="1"/>
      <w:numFmt w:val="decimal"/>
      <w:lvlText w:val="%7."/>
      <w:lvlJc w:val="left"/>
      <w:pPr>
        <w:tabs>
          <w:tab w:val="num" w:pos="2679"/>
        </w:tabs>
        <w:ind w:left="2679" w:hanging="480"/>
      </w:pPr>
      <w:rPr>
        <w:rFonts w:cs="Times New Roman"/>
      </w:rPr>
    </w:lvl>
    <w:lvl w:ilvl="7" w:tplc="04090019" w:tentative="1">
      <w:start w:val="1"/>
      <w:numFmt w:val="ideographTraditional"/>
      <w:lvlText w:val="%8、"/>
      <w:lvlJc w:val="left"/>
      <w:pPr>
        <w:tabs>
          <w:tab w:val="num" w:pos="3159"/>
        </w:tabs>
        <w:ind w:left="3159" w:hanging="480"/>
      </w:pPr>
      <w:rPr>
        <w:rFonts w:cs="Times New Roman"/>
      </w:rPr>
    </w:lvl>
    <w:lvl w:ilvl="8" w:tplc="0409001B" w:tentative="1">
      <w:start w:val="1"/>
      <w:numFmt w:val="lowerRoman"/>
      <w:lvlText w:val="%9."/>
      <w:lvlJc w:val="right"/>
      <w:pPr>
        <w:tabs>
          <w:tab w:val="num" w:pos="3639"/>
        </w:tabs>
        <w:ind w:left="3639" w:hanging="480"/>
      </w:pPr>
      <w:rPr>
        <w:rFonts w:cs="Times New Roman"/>
      </w:rPr>
    </w:lvl>
  </w:abstractNum>
  <w:abstractNum w:abstractNumId="4">
    <w:nsid w:val="1F4D74CD"/>
    <w:multiLevelType w:val="hybridMultilevel"/>
    <w:tmpl w:val="508C8D12"/>
    <w:lvl w:ilvl="0" w:tplc="83304CF2">
      <w:start w:val="1"/>
      <w:numFmt w:val="decimal"/>
      <w:lvlText w:val="（%1）"/>
      <w:lvlJc w:val="left"/>
      <w:pPr>
        <w:tabs>
          <w:tab w:val="num" w:pos="1727"/>
        </w:tabs>
        <w:ind w:left="1727" w:hanging="480"/>
      </w:pPr>
      <w:rPr>
        <w:rFonts w:cs="Times New Roman" w:hint="eastAsia"/>
        <w:b w:val="0"/>
        <w:i w:val="0"/>
        <w:color w:val="auto"/>
        <w:sz w:val="28"/>
        <w:szCs w:val="28"/>
        <w:u w:val="none"/>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38F0059C"/>
    <w:multiLevelType w:val="hybridMultilevel"/>
    <w:tmpl w:val="CB062408"/>
    <w:lvl w:ilvl="0" w:tplc="E9DAF622">
      <w:start w:val="1"/>
      <w:numFmt w:val="ideographDigital"/>
      <w:lvlText w:val="（%1）"/>
      <w:lvlJc w:val="left"/>
      <w:pPr>
        <w:tabs>
          <w:tab w:val="num" w:pos="1046"/>
        </w:tabs>
        <w:ind w:left="1046" w:hanging="480"/>
      </w:pPr>
      <w:rPr>
        <w:rFonts w:cs="Times New Roman" w:hint="eastAsia"/>
      </w:rPr>
    </w:lvl>
    <w:lvl w:ilvl="1" w:tplc="04090019" w:tentative="1">
      <w:start w:val="1"/>
      <w:numFmt w:val="ideographTraditional"/>
      <w:lvlText w:val="%2、"/>
      <w:lvlJc w:val="left"/>
      <w:pPr>
        <w:tabs>
          <w:tab w:val="num" w:pos="279"/>
        </w:tabs>
        <w:ind w:left="279" w:hanging="480"/>
      </w:pPr>
      <w:rPr>
        <w:rFonts w:cs="Times New Roman"/>
      </w:rPr>
    </w:lvl>
    <w:lvl w:ilvl="2" w:tplc="0409001B" w:tentative="1">
      <w:start w:val="1"/>
      <w:numFmt w:val="lowerRoman"/>
      <w:lvlText w:val="%3."/>
      <w:lvlJc w:val="right"/>
      <w:pPr>
        <w:tabs>
          <w:tab w:val="num" w:pos="759"/>
        </w:tabs>
        <w:ind w:left="759" w:hanging="480"/>
      </w:pPr>
      <w:rPr>
        <w:rFonts w:cs="Times New Roman"/>
      </w:rPr>
    </w:lvl>
    <w:lvl w:ilvl="3" w:tplc="0409000F" w:tentative="1">
      <w:start w:val="1"/>
      <w:numFmt w:val="decimal"/>
      <w:lvlText w:val="%4."/>
      <w:lvlJc w:val="left"/>
      <w:pPr>
        <w:tabs>
          <w:tab w:val="num" w:pos="1239"/>
        </w:tabs>
        <w:ind w:left="1239" w:hanging="480"/>
      </w:pPr>
      <w:rPr>
        <w:rFonts w:cs="Times New Roman"/>
      </w:rPr>
    </w:lvl>
    <w:lvl w:ilvl="4" w:tplc="04090019" w:tentative="1">
      <w:start w:val="1"/>
      <w:numFmt w:val="ideographTraditional"/>
      <w:lvlText w:val="%5、"/>
      <w:lvlJc w:val="left"/>
      <w:pPr>
        <w:tabs>
          <w:tab w:val="num" w:pos="1719"/>
        </w:tabs>
        <w:ind w:left="1719" w:hanging="480"/>
      </w:pPr>
      <w:rPr>
        <w:rFonts w:cs="Times New Roman"/>
      </w:rPr>
    </w:lvl>
    <w:lvl w:ilvl="5" w:tplc="0409001B" w:tentative="1">
      <w:start w:val="1"/>
      <w:numFmt w:val="lowerRoman"/>
      <w:lvlText w:val="%6."/>
      <w:lvlJc w:val="right"/>
      <w:pPr>
        <w:tabs>
          <w:tab w:val="num" w:pos="2199"/>
        </w:tabs>
        <w:ind w:left="2199" w:hanging="480"/>
      </w:pPr>
      <w:rPr>
        <w:rFonts w:cs="Times New Roman"/>
      </w:rPr>
    </w:lvl>
    <w:lvl w:ilvl="6" w:tplc="0409000F" w:tentative="1">
      <w:start w:val="1"/>
      <w:numFmt w:val="decimal"/>
      <w:lvlText w:val="%7."/>
      <w:lvlJc w:val="left"/>
      <w:pPr>
        <w:tabs>
          <w:tab w:val="num" w:pos="2679"/>
        </w:tabs>
        <w:ind w:left="2679" w:hanging="480"/>
      </w:pPr>
      <w:rPr>
        <w:rFonts w:cs="Times New Roman"/>
      </w:rPr>
    </w:lvl>
    <w:lvl w:ilvl="7" w:tplc="04090019" w:tentative="1">
      <w:start w:val="1"/>
      <w:numFmt w:val="ideographTraditional"/>
      <w:lvlText w:val="%8、"/>
      <w:lvlJc w:val="left"/>
      <w:pPr>
        <w:tabs>
          <w:tab w:val="num" w:pos="3159"/>
        </w:tabs>
        <w:ind w:left="3159" w:hanging="480"/>
      </w:pPr>
      <w:rPr>
        <w:rFonts w:cs="Times New Roman"/>
      </w:rPr>
    </w:lvl>
    <w:lvl w:ilvl="8" w:tplc="0409001B" w:tentative="1">
      <w:start w:val="1"/>
      <w:numFmt w:val="lowerRoman"/>
      <w:lvlText w:val="%9."/>
      <w:lvlJc w:val="right"/>
      <w:pPr>
        <w:tabs>
          <w:tab w:val="num" w:pos="3639"/>
        </w:tabs>
        <w:ind w:left="3639" w:hanging="480"/>
      </w:pPr>
      <w:rPr>
        <w:rFonts w:cs="Times New Roman"/>
      </w:rPr>
    </w:lvl>
  </w:abstractNum>
  <w:abstractNum w:abstractNumId="6">
    <w:nsid w:val="3DBF00AF"/>
    <w:multiLevelType w:val="hybridMultilevel"/>
    <w:tmpl w:val="2F648312"/>
    <w:lvl w:ilvl="0" w:tplc="DF5452D6">
      <w:start w:val="1"/>
      <w:numFmt w:val="ideographDigital"/>
      <w:lvlText w:val="（%1）"/>
      <w:lvlJc w:val="left"/>
      <w:pPr>
        <w:tabs>
          <w:tab w:val="num" w:pos="480"/>
        </w:tabs>
        <w:ind w:left="480" w:hanging="480"/>
      </w:pPr>
      <w:rPr>
        <w:rFonts w:cs="Times New Roman" w:hint="eastAsia"/>
        <w:u w:val="none"/>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4A560308"/>
    <w:multiLevelType w:val="hybridMultilevel"/>
    <w:tmpl w:val="FD368D10"/>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8">
    <w:nsid w:val="4F6519B0"/>
    <w:multiLevelType w:val="hybridMultilevel"/>
    <w:tmpl w:val="779C2646"/>
    <w:lvl w:ilvl="0" w:tplc="9B0A459C">
      <w:start w:val="1"/>
      <w:numFmt w:val="decimal"/>
      <w:lvlText w:val="（%1）"/>
      <w:lvlJc w:val="left"/>
      <w:pPr>
        <w:tabs>
          <w:tab w:val="num" w:pos="1727"/>
        </w:tabs>
        <w:ind w:left="1727" w:hanging="480"/>
      </w:pPr>
      <w:rPr>
        <w:rFonts w:cs="Times New Roman" w:hint="eastAsia"/>
        <w:b w:val="0"/>
        <w:i w:val="0"/>
        <w:color w:val="auto"/>
        <w:sz w:val="28"/>
        <w:szCs w:val="28"/>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5AB520EB"/>
    <w:multiLevelType w:val="hybridMultilevel"/>
    <w:tmpl w:val="1EF28A62"/>
    <w:lvl w:ilvl="0" w:tplc="E9DAF622">
      <w:start w:val="1"/>
      <w:numFmt w:val="ideographDigital"/>
      <w:lvlText w:val="（%1）"/>
      <w:lvlJc w:val="left"/>
      <w:pPr>
        <w:tabs>
          <w:tab w:val="num" w:pos="2520"/>
        </w:tabs>
        <w:ind w:left="252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65B068E9"/>
    <w:multiLevelType w:val="hybridMultilevel"/>
    <w:tmpl w:val="FFB67DD0"/>
    <w:lvl w:ilvl="0" w:tplc="E9DAF622">
      <w:start w:val="1"/>
      <w:numFmt w:val="ideographDigital"/>
      <w:lvlText w:val="（%1）"/>
      <w:lvlJc w:val="left"/>
      <w:pPr>
        <w:tabs>
          <w:tab w:val="num" w:pos="1727"/>
        </w:tabs>
        <w:ind w:left="1727"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6BA15C9C"/>
    <w:multiLevelType w:val="hybridMultilevel"/>
    <w:tmpl w:val="9788BDD0"/>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nsid w:val="6C594E76"/>
    <w:multiLevelType w:val="hybridMultilevel"/>
    <w:tmpl w:val="7038A504"/>
    <w:lvl w:ilvl="0" w:tplc="0668171C">
      <w:start w:val="1"/>
      <w:numFmt w:val="taiwaneseCountingThousand"/>
      <w:lvlText w:val="%1、"/>
      <w:lvlJc w:val="left"/>
      <w:pPr>
        <w:ind w:left="1286" w:hanging="720"/>
      </w:pPr>
      <w:rPr>
        <w:rFonts w:ascii="Times New Roman" w:cs="Times New Roman" w:hint="default"/>
        <w:u w:val="single"/>
      </w:rPr>
    </w:lvl>
    <w:lvl w:ilvl="1" w:tplc="28FE0BBA">
      <w:start w:val="1"/>
      <w:numFmt w:val="decimal"/>
      <w:lvlText w:val="%2、"/>
      <w:lvlJc w:val="left"/>
      <w:pPr>
        <w:tabs>
          <w:tab w:val="num" w:pos="1474"/>
        </w:tabs>
        <w:ind w:left="1474" w:hanging="623"/>
      </w:pPr>
      <w:rPr>
        <w:rFonts w:ascii="Times New Roman" w:eastAsia="新細明體" w:hAnsi="Times New Roman" w:cs="Times New Roman" w:hint="eastAsia"/>
        <w:sz w:val="28"/>
        <w:szCs w:val="28"/>
        <w:u w:val="none"/>
      </w:rPr>
    </w:lvl>
    <w:lvl w:ilvl="2" w:tplc="D570CC64">
      <w:start w:val="1"/>
      <w:numFmt w:val="decimal"/>
      <w:lvlText w:val="%3、"/>
      <w:lvlJc w:val="left"/>
      <w:pPr>
        <w:ind w:left="2006" w:hanging="480"/>
      </w:pPr>
      <w:rPr>
        <w:rFonts w:eastAsia="標楷體" w:cs="Times New Roman" w:hint="eastAsia"/>
        <w:b w:val="0"/>
        <w:i w:val="0"/>
        <w:color w:val="auto"/>
        <w:sz w:val="28"/>
        <w:szCs w:val="28"/>
        <w:u w:val="none"/>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13">
    <w:nsid w:val="7C080E48"/>
    <w:multiLevelType w:val="hybridMultilevel"/>
    <w:tmpl w:val="65108B54"/>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num w:numId="1">
    <w:abstractNumId w:val="12"/>
  </w:num>
  <w:num w:numId="2">
    <w:abstractNumId w:val="1"/>
  </w:num>
  <w:num w:numId="3">
    <w:abstractNumId w:val="6"/>
  </w:num>
  <w:num w:numId="4">
    <w:abstractNumId w:val="11"/>
  </w:num>
  <w:num w:numId="5">
    <w:abstractNumId w:val="8"/>
  </w:num>
  <w:num w:numId="6">
    <w:abstractNumId w:val="7"/>
  </w:num>
  <w:num w:numId="7">
    <w:abstractNumId w:val="4"/>
  </w:num>
  <w:num w:numId="8">
    <w:abstractNumId w:val="13"/>
  </w:num>
  <w:num w:numId="9">
    <w:abstractNumId w:val="2"/>
  </w:num>
  <w:num w:numId="10">
    <w:abstractNumId w:val="10"/>
  </w:num>
  <w:num w:numId="11">
    <w:abstractNumId w:val="9"/>
  </w:num>
  <w:num w:numId="12">
    <w:abstractNumId w:val="3"/>
  </w:num>
  <w:num w:numId="13">
    <w:abstractNumId w:val="5"/>
  </w:num>
  <w:num w:numId="14">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361"/>
  <w:displayHorizontalDrawingGridEvery w:val="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A5"/>
    <w:rsid w:val="00011349"/>
    <w:rsid w:val="00014D26"/>
    <w:rsid w:val="00015A5C"/>
    <w:rsid w:val="00020FFA"/>
    <w:rsid w:val="00030F2A"/>
    <w:rsid w:val="00032FDF"/>
    <w:rsid w:val="00033359"/>
    <w:rsid w:val="00034A80"/>
    <w:rsid w:val="0003710C"/>
    <w:rsid w:val="00040CAB"/>
    <w:rsid w:val="00040ED3"/>
    <w:rsid w:val="00041ED6"/>
    <w:rsid w:val="000462EB"/>
    <w:rsid w:val="0004680E"/>
    <w:rsid w:val="0004796F"/>
    <w:rsid w:val="000537A9"/>
    <w:rsid w:val="00057E0B"/>
    <w:rsid w:val="00060637"/>
    <w:rsid w:val="00063AD5"/>
    <w:rsid w:val="0006643E"/>
    <w:rsid w:val="00070DA5"/>
    <w:rsid w:val="00071152"/>
    <w:rsid w:val="000713D9"/>
    <w:rsid w:val="00071998"/>
    <w:rsid w:val="00071D7A"/>
    <w:rsid w:val="00074E79"/>
    <w:rsid w:val="000764C0"/>
    <w:rsid w:val="00077A0B"/>
    <w:rsid w:val="000819BD"/>
    <w:rsid w:val="00081AFF"/>
    <w:rsid w:val="000820E8"/>
    <w:rsid w:val="00082FFA"/>
    <w:rsid w:val="00084CFC"/>
    <w:rsid w:val="00086E30"/>
    <w:rsid w:val="000905A5"/>
    <w:rsid w:val="000955DF"/>
    <w:rsid w:val="00096C69"/>
    <w:rsid w:val="000A1515"/>
    <w:rsid w:val="000A2B1E"/>
    <w:rsid w:val="000A30BF"/>
    <w:rsid w:val="000A4329"/>
    <w:rsid w:val="000A55BC"/>
    <w:rsid w:val="000B14CA"/>
    <w:rsid w:val="000B63CD"/>
    <w:rsid w:val="000B7E11"/>
    <w:rsid w:val="000C1A47"/>
    <w:rsid w:val="000C2E11"/>
    <w:rsid w:val="000C2F6F"/>
    <w:rsid w:val="000C3E21"/>
    <w:rsid w:val="000C4C1F"/>
    <w:rsid w:val="000C5A07"/>
    <w:rsid w:val="000D023E"/>
    <w:rsid w:val="000D3DD2"/>
    <w:rsid w:val="000D52D6"/>
    <w:rsid w:val="000D745C"/>
    <w:rsid w:val="000E10B0"/>
    <w:rsid w:val="000E53A7"/>
    <w:rsid w:val="000F4353"/>
    <w:rsid w:val="000F593A"/>
    <w:rsid w:val="000F607E"/>
    <w:rsid w:val="001045E3"/>
    <w:rsid w:val="00110699"/>
    <w:rsid w:val="001122C1"/>
    <w:rsid w:val="00112591"/>
    <w:rsid w:val="0011310E"/>
    <w:rsid w:val="0012045D"/>
    <w:rsid w:val="00122116"/>
    <w:rsid w:val="00123FDE"/>
    <w:rsid w:val="00127AD8"/>
    <w:rsid w:val="001326CE"/>
    <w:rsid w:val="001329EC"/>
    <w:rsid w:val="00133316"/>
    <w:rsid w:val="00136E9F"/>
    <w:rsid w:val="00137765"/>
    <w:rsid w:val="001410B1"/>
    <w:rsid w:val="001412D1"/>
    <w:rsid w:val="00144D43"/>
    <w:rsid w:val="00145342"/>
    <w:rsid w:val="00146BC5"/>
    <w:rsid w:val="0014763F"/>
    <w:rsid w:val="00147C43"/>
    <w:rsid w:val="00157231"/>
    <w:rsid w:val="0015766E"/>
    <w:rsid w:val="001616C4"/>
    <w:rsid w:val="0016192B"/>
    <w:rsid w:val="00161B50"/>
    <w:rsid w:val="0016203B"/>
    <w:rsid w:val="0016405C"/>
    <w:rsid w:val="00165BA9"/>
    <w:rsid w:val="00165C74"/>
    <w:rsid w:val="001665A9"/>
    <w:rsid w:val="00167372"/>
    <w:rsid w:val="001677BE"/>
    <w:rsid w:val="00171653"/>
    <w:rsid w:val="00175686"/>
    <w:rsid w:val="001760AC"/>
    <w:rsid w:val="00182323"/>
    <w:rsid w:val="0018398A"/>
    <w:rsid w:val="0018763E"/>
    <w:rsid w:val="00191DAF"/>
    <w:rsid w:val="00191E63"/>
    <w:rsid w:val="00193C97"/>
    <w:rsid w:val="0019520B"/>
    <w:rsid w:val="00195B73"/>
    <w:rsid w:val="001A1284"/>
    <w:rsid w:val="001A1B0F"/>
    <w:rsid w:val="001A20B2"/>
    <w:rsid w:val="001A4825"/>
    <w:rsid w:val="001A5087"/>
    <w:rsid w:val="001A627F"/>
    <w:rsid w:val="001B25C7"/>
    <w:rsid w:val="001B575C"/>
    <w:rsid w:val="001B60B5"/>
    <w:rsid w:val="001C14B0"/>
    <w:rsid w:val="001C1926"/>
    <w:rsid w:val="001C6495"/>
    <w:rsid w:val="001C64B2"/>
    <w:rsid w:val="001C759B"/>
    <w:rsid w:val="001D1AF3"/>
    <w:rsid w:val="001D2EE9"/>
    <w:rsid w:val="001D5500"/>
    <w:rsid w:val="001D5556"/>
    <w:rsid w:val="001D7372"/>
    <w:rsid w:val="001D7680"/>
    <w:rsid w:val="001E0EA8"/>
    <w:rsid w:val="001E2781"/>
    <w:rsid w:val="001E6913"/>
    <w:rsid w:val="001F065D"/>
    <w:rsid w:val="001F1FCA"/>
    <w:rsid w:val="001F487A"/>
    <w:rsid w:val="001F4D03"/>
    <w:rsid w:val="001F6747"/>
    <w:rsid w:val="00211304"/>
    <w:rsid w:val="00212177"/>
    <w:rsid w:val="002147EC"/>
    <w:rsid w:val="00216057"/>
    <w:rsid w:val="00216B59"/>
    <w:rsid w:val="00225B0B"/>
    <w:rsid w:val="0022606F"/>
    <w:rsid w:val="00226566"/>
    <w:rsid w:val="0022683B"/>
    <w:rsid w:val="00227430"/>
    <w:rsid w:val="0023238E"/>
    <w:rsid w:val="00237342"/>
    <w:rsid w:val="00242C03"/>
    <w:rsid w:val="00253479"/>
    <w:rsid w:val="00253FFE"/>
    <w:rsid w:val="00257B05"/>
    <w:rsid w:val="00260B46"/>
    <w:rsid w:val="00261C0A"/>
    <w:rsid w:val="002636A2"/>
    <w:rsid w:val="00265C3E"/>
    <w:rsid w:val="00266225"/>
    <w:rsid w:val="002679B2"/>
    <w:rsid w:val="00271329"/>
    <w:rsid w:val="00272332"/>
    <w:rsid w:val="00273150"/>
    <w:rsid w:val="0027566E"/>
    <w:rsid w:val="002815BC"/>
    <w:rsid w:val="00281790"/>
    <w:rsid w:val="00281966"/>
    <w:rsid w:val="00287F58"/>
    <w:rsid w:val="002919D6"/>
    <w:rsid w:val="00292858"/>
    <w:rsid w:val="002951BE"/>
    <w:rsid w:val="0029609A"/>
    <w:rsid w:val="00296757"/>
    <w:rsid w:val="0029678F"/>
    <w:rsid w:val="00296F9B"/>
    <w:rsid w:val="002970F2"/>
    <w:rsid w:val="002A3B25"/>
    <w:rsid w:val="002A5167"/>
    <w:rsid w:val="002A5624"/>
    <w:rsid w:val="002A5E62"/>
    <w:rsid w:val="002A6114"/>
    <w:rsid w:val="002A7814"/>
    <w:rsid w:val="002B138F"/>
    <w:rsid w:val="002B24CF"/>
    <w:rsid w:val="002B42FA"/>
    <w:rsid w:val="002B573C"/>
    <w:rsid w:val="002B5A25"/>
    <w:rsid w:val="002C101D"/>
    <w:rsid w:val="002C63F5"/>
    <w:rsid w:val="002C7210"/>
    <w:rsid w:val="002D1CB5"/>
    <w:rsid w:val="002D1E59"/>
    <w:rsid w:val="002D22B8"/>
    <w:rsid w:val="002D480D"/>
    <w:rsid w:val="002D565C"/>
    <w:rsid w:val="002D7557"/>
    <w:rsid w:val="002E3E41"/>
    <w:rsid w:val="002E423B"/>
    <w:rsid w:val="002E5AB2"/>
    <w:rsid w:val="002E6F0E"/>
    <w:rsid w:val="002F05A3"/>
    <w:rsid w:val="002F0A9F"/>
    <w:rsid w:val="002F42EE"/>
    <w:rsid w:val="00300D90"/>
    <w:rsid w:val="00301E86"/>
    <w:rsid w:val="003024F9"/>
    <w:rsid w:val="00303A4E"/>
    <w:rsid w:val="00305EC6"/>
    <w:rsid w:val="0030762D"/>
    <w:rsid w:val="00312ED3"/>
    <w:rsid w:val="00315712"/>
    <w:rsid w:val="003167AD"/>
    <w:rsid w:val="0031739A"/>
    <w:rsid w:val="00317A9A"/>
    <w:rsid w:val="00322F63"/>
    <w:rsid w:val="0032305A"/>
    <w:rsid w:val="00324352"/>
    <w:rsid w:val="0032572E"/>
    <w:rsid w:val="003270DB"/>
    <w:rsid w:val="00331229"/>
    <w:rsid w:val="00334263"/>
    <w:rsid w:val="0033449E"/>
    <w:rsid w:val="003349E9"/>
    <w:rsid w:val="00334DF6"/>
    <w:rsid w:val="00337CCB"/>
    <w:rsid w:val="003436D4"/>
    <w:rsid w:val="00346AE9"/>
    <w:rsid w:val="00352CDE"/>
    <w:rsid w:val="0035386F"/>
    <w:rsid w:val="003609EE"/>
    <w:rsid w:val="0036278C"/>
    <w:rsid w:val="00363DC1"/>
    <w:rsid w:val="0036638E"/>
    <w:rsid w:val="0036717A"/>
    <w:rsid w:val="003673B3"/>
    <w:rsid w:val="00374C75"/>
    <w:rsid w:val="00377430"/>
    <w:rsid w:val="00383B7E"/>
    <w:rsid w:val="003870E9"/>
    <w:rsid w:val="0039432D"/>
    <w:rsid w:val="003970C7"/>
    <w:rsid w:val="003978D6"/>
    <w:rsid w:val="003A2983"/>
    <w:rsid w:val="003B6029"/>
    <w:rsid w:val="003B73DF"/>
    <w:rsid w:val="003C022F"/>
    <w:rsid w:val="003C08FF"/>
    <w:rsid w:val="003C3376"/>
    <w:rsid w:val="003C3D83"/>
    <w:rsid w:val="003C667C"/>
    <w:rsid w:val="003C69B9"/>
    <w:rsid w:val="003D364F"/>
    <w:rsid w:val="003D57EE"/>
    <w:rsid w:val="003D736C"/>
    <w:rsid w:val="003D7EB8"/>
    <w:rsid w:val="003E239E"/>
    <w:rsid w:val="003E2DC4"/>
    <w:rsid w:val="003E46BF"/>
    <w:rsid w:val="003F6318"/>
    <w:rsid w:val="0040049D"/>
    <w:rsid w:val="004015BE"/>
    <w:rsid w:val="004024A5"/>
    <w:rsid w:val="004036CB"/>
    <w:rsid w:val="004049A5"/>
    <w:rsid w:val="0040602C"/>
    <w:rsid w:val="00410C2D"/>
    <w:rsid w:val="00414107"/>
    <w:rsid w:val="00414166"/>
    <w:rsid w:val="00416E55"/>
    <w:rsid w:val="004213FA"/>
    <w:rsid w:val="0042232E"/>
    <w:rsid w:val="00423794"/>
    <w:rsid w:val="004275C0"/>
    <w:rsid w:val="004279A4"/>
    <w:rsid w:val="004342BD"/>
    <w:rsid w:val="00434857"/>
    <w:rsid w:val="00434D17"/>
    <w:rsid w:val="004368EE"/>
    <w:rsid w:val="0044175F"/>
    <w:rsid w:val="0044185A"/>
    <w:rsid w:val="00452133"/>
    <w:rsid w:val="00462567"/>
    <w:rsid w:val="00466D7C"/>
    <w:rsid w:val="00466EF3"/>
    <w:rsid w:val="004673EE"/>
    <w:rsid w:val="00471933"/>
    <w:rsid w:val="00474549"/>
    <w:rsid w:val="00480174"/>
    <w:rsid w:val="00484BD7"/>
    <w:rsid w:val="004866B3"/>
    <w:rsid w:val="004869C4"/>
    <w:rsid w:val="00487E96"/>
    <w:rsid w:val="004911E1"/>
    <w:rsid w:val="00497E8A"/>
    <w:rsid w:val="004A0A7C"/>
    <w:rsid w:val="004A3BA5"/>
    <w:rsid w:val="004B2575"/>
    <w:rsid w:val="004B35BE"/>
    <w:rsid w:val="004B779D"/>
    <w:rsid w:val="004C006F"/>
    <w:rsid w:val="004C2CCF"/>
    <w:rsid w:val="004C4029"/>
    <w:rsid w:val="004C56B9"/>
    <w:rsid w:val="004D228A"/>
    <w:rsid w:val="004E3670"/>
    <w:rsid w:val="004E36C0"/>
    <w:rsid w:val="004E3FA4"/>
    <w:rsid w:val="004E4C36"/>
    <w:rsid w:val="004E64CA"/>
    <w:rsid w:val="004E7B82"/>
    <w:rsid w:val="004F0588"/>
    <w:rsid w:val="004F074A"/>
    <w:rsid w:val="004F0779"/>
    <w:rsid w:val="004F3D5C"/>
    <w:rsid w:val="004F5472"/>
    <w:rsid w:val="004F6113"/>
    <w:rsid w:val="005011F4"/>
    <w:rsid w:val="0050510C"/>
    <w:rsid w:val="00511302"/>
    <w:rsid w:val="00511A57"/>
    <w:rsid w:val="00512534"/>
    <w:rsid w:val="00515DDD"/>
    <w:rsid w:val="00523BAB"/>
    <w:rsid w:val="00523D5B"/>
    <w:rsid w:val="00523F8E"/>
    <w:rsid w:val="00524DFB"/>
    <w:rsid w:val="00527404"/>
    <w:rsid w:val="00530C47"/>
    <w:rsid w:val="00531F96"/>
    <w:rsid w:val="00532809"/>
    <w:rsid w:val="005339CA"/>
    <w:rsid w:val="00533D91"/>
    <w:rsid w:val="00540CB6"/>
    <w:rsid w:val="00541A71"/>
    <w:rsid w:val="00541FCE"/>
    <w:rsid w:val="00542CC2"/>
    <w:rsid w:val="00546997"/>
    <w:rsid w:val="0054759C"/>
    <w:rsid w:val="005501A6"/>
    <w:rsid w:val="0055072C"/>
    <w:rsid w:val="005511CE"/>
    <w:rsid w:val="00553A50"/>
    <w:rsid w:val="00555916"/>
    <w:rsid w:val="00561B32"/>
    <w:rsid w:val="0056295D"/>
    <w:rsid w:val="00567537"/>
    <w:rsid w:val="00570536"/>
    <w:rsid w:val="00575ED1"/>
    <w:rsid w:val="00584F73"/>
    <w:rsid w:val="00585B97"/>
    <w:rsid w:val="00585F4B"/>
    <w:rsid w:val="00587352"/>
    <w:rsid w:val="0059017A"/>
    <w:rsid w:val="00597472"/>
    <w:rsid w:val="00597F35"/>
    <w:rsid w:val="005A10C1"/>
    <w:rsid w:val="005A26E5"/>
    <w:rsid w:val="005A391A"/>
    <w:rsid w:val="005A42FF"/>
    <w:rsid w:val="005A4768"/>
    <w:rsid w:val="005A5454"/>
    <w:rsid w:val="005A5E7D"/>
    <w:rsid w:val="005A6255"/>
    <w:rsid w:val="005C00AF"/>
    <w:rsid w:val="005C4172"/>
    <w:rsid w:val="005C7807"/>
    <w:rsid w:val="005C7D24"/>
    <w:rsid w:val="005D389D"/>
    <w:rsid w:val="005D5AEC"/>
    <w:rsid w:val="005D60D5"/>
    <w:rsid w:val="005E05CB"/>
    <w:rsid w:val="005E1312"/>
    <w:rsid w:val="005E6270"/>
    <w:rsid w:val="005F573F"/>
    <w:rsid w:val="0060126C"/>
    <w:rsid w:val="00621752"/>
    <w:rsid w:val="00621CD9"/>
    <w:rsid w:val="00622A91"/>
    <w:rsid w:val="00623D6D"/>
    <w:rsid w:val="00626145"/>
    <w:rsid w:val="00630E88"/>
    <w:rsid w:val="00631036"/>
    <w:rsid w:val="00634B9D"/>
    <w:rsid w:val="00635FB2"/>
    <w:rsid w:val="00640286"/>
    <w:rsid w:val="00640BFE"/>
    <w:rsid w:val="00642D32"/>
    <w:rsid w:val="00643000"/>
    <w:rsid w:val="0064508C"/>
    <w:rsid w:val="006553A3"/>
    <w:rsid w:val="006570DA"/>
    <w:rsid w:val="00657D3A"/>
    <w:rsid w:val="00660B12"/>
    <w:rsid w:val="00660D65"/>
    <w:rsid w:val="00661531"/>
    <w:rsid w:val="00661689"/>
    <w:rsid w:val="00661810"/>
    <w:rsid w:val="006644D4"/>
    <w:rsid w:val="00666380"/>
    <w:rsid w:val="00667785"/>
    <w:rsid w:val="00672C40"/>
    <w:rsid w:val="00674BEE"/>
    <w:rsid w:val="00677D7C"/>
    <w:rsid w:val="00683C89"/>
    <w:rsid w:val="00684367"/>
    <w:rsid w:val="00686422"/>
    <w:rsid w:val="00691662"/>
    <w:rsid w:val="00697296"/>
    <w:rsid w:val="006A6E67"/>
    <w:rsid w:val="006B19F9"/>
    <w:rsid w:val="006B2CF0"/>
    <w:rsid w:val="006B344D"/>
    <w:rsid w:val="006C03F1"/>
    <w:rsid w:val="006C23BA"/>
    <w:rsid w:val="006C4A90"/>
    <w:rsid w:val="006C4D06"/>
    <w:rsid w:val="006C6B5D"/>
    <w:rsid w:val="006C6FB9"/>
    <w:rsid w:val="006D2891"/>
    <w:rsid w:val="006D4B42"/>
    <w:rsid w:val="006D6502"/>
    <w:rsid w:val="006E048D"/>
    <w:rsid w:val="006E17BB"/>
    <w:rsid w:val="006E1DFA"/>
    <w:rsid w:val="006E35FA"/>
    <w:rsid w:val="006E520C"/>
    <w:rsid w:val="006E603A"/>
    <w:rsid w:val="006E6B4B"/>
    <w:rsid w:val="006E6FE8"/>
    <w:rsid w:val="006F15EE"/>
    <w:rsid w:val="006F1E0F"/>
    <w:rsid w:val="006F43B2"/>
    <w:rsid w:val="006F4B4A"/>
    <w:rsid w:val="006F50C5"/>
    <w:rsid w:val="006F7A3A"/>
    <w:rsid w:val="0070081C"/>
    <w:rsid w:val="00701093"/>
    <w:rsid w:val="00701849"/>
    <w:rsid w:val="0070234E"/>
    <w:rsid w:val="00703984"/>
    <w:rsid w:val="00704758"/>
    <w:rsid w:val="00706A98"/>
    <w:rsid w:val="00713D3D"/>
    <w:rsid w:val="00714A28"/>
    <w:rsid w:val="00715A3F"/>
    <w:rsid w:val="007228E1"/>
    <w:rsid w:val="00723F41"/>
    <w:rsid w:val="007241AC"/>
    <w:rsid w:val="007266DD"/>
    <w:rsid w:val="00730F87"/>
    <w:rsid w:val="007318F4"/>
    <w:rsid w:val="007350DF"/>
    <w:rsid w:val="007375B8"/>
    <w:rsid w:val="00743299"/>
    <w:rsid w:val="00743C1D"/>
    <w:rsid w:val="00744230"/>
    <w:rsid w:val="00746DE6"/>
    <w:rsid w:val="0075127D"/>
    <w:rsid w:val="00751442"/>
    <w:rsid w:val="0075300D"/>
    <w:rsid w:val="0075379E"/>
    <w:rsid w:val="00754EA4"/>
    <w:rsid w:val="00755299"/>
    <w:rsid w:val="00755EB4"/>
    <w:rsid w:val="0075647B"/>
    <w:rsid w:val="0075798B"/>
    <w:rsid w:val="00760515"/>
    <w:rsid w:val="0076762E"/>
    <w:rsid w:val="007677BF"/>
    <w:rsid w:val="0077601E"/>
    <w:rsid w:val="00776BFE"/>
    <w:rsid w:val="00777D8B"/>
    <w:rsid w:val="00781D46"/>
    <w:rsid w:val="00791FF0"/>
    <w:rsid w:val="00792050"/>
    <w:rsid w:val="007934B5"/>
    <w:rsid w:val="00793952"/>
    <w:rsid w:val="00794251"/>
    <w:rsid w:val="00796F90"/>
    <w:rsid w:val="00797E3C"/>
    <w:rsid w:val="007A1709"/>
    <w:rsid w:val="007A3F69"/>
    <w:rsid w:val="007A6ED7"/>
    <w:rsid w:val="007B518C"/>
    <w:rsid w:val="007B623E"/>
    <w:rsid w:val="007C1801"/>
    <w:rsid w:val="007C1899"/>
    <w:rsid w:val="007C1DBF"/>
    <w:rsid w:val="007C23ED"/>
    <w:rsid w:val="007C4B6E"/>
    <w:rsid w:val="007C7D1D"/>
    <w:rsid w:val="007D314A"/>
    <w:rsid w:val="007D6097"/>
    <w:rsid w:val="007D72C7"/>
    <w:rsid w:val="007E0645"/>
    <w:rsid w:val="007E29AF"/>
    <w:rsid w:val="007E39AE"/>
    <w:rsid w:val="007F0A5B"/>
    <w:rsid w:val="007F1305"/>
    <w:rsid w:val="007F464D"/>
    <w:rsid w:val="007F63E5"/>
    <w:rsid w:val="007F6B67"/>
    <w:rsid w:val="008007F4"/>
    <w:rsid w:val="00806183"/>
    <w:rsid w:val="00807CE2"/>
    <w:rsid w:val="008129B8"/>
    <w:rsid w:val="008173A9"/>
    <w:rsid w:val="00817914"/>
    <w:rsid w:val="00822682"/>
    <w:rsid w:val="00823EB6"/>
    <w:rsid w:val="008264AF"/>
    <w:rsid w:val="00837C7D"/>
    <w:rsid w:val="00837F39"/>
    <w:rsid w:val="00845A69"/>
    <w:rsid w:val="00846075"/>
    <w:rsid w:val="00852DAD"/>
    <w:rsid w:val="00854866"/>
    <w:rsid w:val="00854AE5"/>
    <w:rsid w:val="00854CA4"/>
    <w:rsid w:val="00855173"/>
    <w:rsid w:val="008577D1"/>
    <w:rsid w:val="00857D45"/>
    <w:rsid w:val="00871408"/>
    <w:rsid w:val="00875257"/>
    <w:rsid w:val="00876011"/>
    <w:rsid w:val="008843FE"/>
    <w:rsid w:val="00885176"/>
    <w:rsid w:val="00886B78"/>
    <w:rsid w:val="00894798"/>
    <w:rsid w:val="00894A82"/>
    <w:rsid w:val="008955DA"/>
    <w:rsid w:val="00897A47"/>
    <w:rsid w:val="008A33BE"/>
    <w:rsid w:val="008A4284"/>
    <w:rsid w:val="008B0923"/>
    <w:rsid w:val="008B525A"/>
    <w:rsid w:val="008C03A5"/>
    <w:rsid w:val="008C3191"/>
    <w:rsid w:val="008C68DB"/>
    <w:rsid w:val="008D5522"/>
    <w:rsid w:val="008D5B94"/>
    <w:rsid w:val="008D6BD4"/>
    <w:rsid w:val="008E18C0"/>
    <w:rsid w:val="008E2828"/>
    <w:rsid w:val="008E4AC1"/>
    <w:rsid w:val="008E7FAE"/>
    <w:rsid w:val="008F0CCC"/>
    <w:rsid w:val="008F3067"/>
    <w:rsid w:val="008F372A"/>
    <w:rsid w:val="008F76EB"/>
    <w:rsid w:val="0090063E"/>
    <w:rsid w:val="00903147"/>
    <w:rsid w:val="0090370D"/>
    <w:rsid w:val="00905F5E"/>
    <w:rsid w:val="0091034A"/>
    <w:rsid w:val="00910ED6"/>
    <w:rsid w:val="00911E09"/>
    <w:rsid w:val="00912196"/>
    <w:rsid w:val="0091410B"/>
    <w:rsid w:val="00917003"/>
    <w:rsid w:val="0092267A"/>
    <w:rsid w:val="00925220"/>
    <w:rsid w:val="00926F64"/>
    <w:rsid w:val="009276EB"/>
    <w:rsid w:val="0092773C"/>
    <w:rsid w:val="009277A1"/>
    <w:rsid w:val="00931963"/>
    <w:rsid w:val="00937DAE"/>
    <w:rsid w:val="0094561D"/>
    <w:rsid w:val="00946483"/>
    <w:rsid w:val="009472F4"/>
    <w:rsid w:val="00947E38"/>
    <w:rsid w:val="00951334"/>
    <w:rsid w:val="00960B44"/>
    <w:rsid w:val="00961C76"/>
    <w:rsid w:val="009664C6"/>
    <w:rsid w:val="0097127C"/>
    <w:rsid w:val="00980D69"/>
    <w:rsid w:val="00983D75"/>
    <w:rsid w:val="00985609"/>
    <w:rsid w:val="00986C3F"/>
    <w:rsid w:val="00990DC5"/>
    <w:rsid w:val="00991B04"/>
    <w:rsid w:val="009927C9"/>
    <w:rsid w:val="00996BA1"/>
    <w:rsid w:val="009A3C43"/>
    <w:rsid w:val="009A3DCD"/>
    <w:rsid w:val="009A3F4F"/>
    <w:rsid w:val="009A64E8"/>
    <w:rsid w:val="009B0890"/>
    <w:rsid w:val="009B1007"/>
    <w:rsid w:val="009B1C14"/>
    <w:rsid w:val="009B4FDC"/>
    <w:rsid w:val="009B6058"/>
    <w:rsid w:val="009B701F"/>
    <w:rsid w:val="009C2AF3"/>
    <w:rsid w:val="009C7A51"/>
    <w:rsid w:val="009D11D2"/>
    <w:rsid w:val="009D53BB"/>
    <w:rsid w:val="009D6844"/>
    <w:rsid w:val="009D6AC6"/>
    <w:rsid w:val="009E2430"/>
    <w:rsid w:val="009E4869"/>
    <w:rsid w:val="009F0E56"/>
    <w:rsid w:val="009F1B34"/>
    <w:rsid w:val="009F369E"/>
    <w:rsid w:val="009F3B13"/>
    <w:rsid w:val="009F56D7"/>
    <w:rsid w:val="009F6593"/>
    <w:rsid w:val="00A04585"/>
    <w:rsid w:val="00A070EF"/>
    <w:rsid w:val="00A1035F"/>
    <w:rsid w:val="00A10D57"/>
    <w:rsid w:val="00A11823"/>
    <w:rsid w:val="00A1225C"/>
    <w:rsid w:val="00A13D4E"/>
    <w:rsid w:val="00A21789"/>
    <w:rsid w:val="00A21ECA"/>
    <w:rsid w:val="00A23F8A"/>
    <w:rsid w:val="00A2465B"/>
    <w:rsid w:val="00A2650C"/>
    <w:rsid w:val="00A26E29"/>
    <w:rsid w:val="00A30E3D"/>
    <w:rsid w:val="00A32038"/>
    <w:rsid w:val="00A34B97"/>
    <w:rsid w:val="00A355E7"/>
    <w:rsid w:val="00A41F8A"/>
    <w:rsid w:val="00A42ABB"/>
    <w:rsid w:val="00A43029"/>
    <w:rsid w:val="00A43439"/>
    <w:rsid w:val="00A53EF8"/>
    <w:rsid w:val="00A55940"/>
    <w:rsid w:val="00A5641C"/>
    <w:rsid w:val="00A5672C"/>
    <w:rsid w:val="00A57C99"/>
    <w:rsid w:val="00A61421"/>
    <w:rsid w:val="00A66099"/>
    <w:rsid w:val="00A700B6"/>
    <w:rsid w:val="00A7174E"/>
    <w:rsid w:val="00A71C7D"/>
    <w:rsid w:val="00A758E3"/>
    <w:rsid w:val="00A812B8"/>
    <w:rsid w:val="00A81548"/>
    <w:rsid w:val="00A82B0D"/>
    <w:rsid w:val="00A84370"/>
    <w:rsid w:val="00A84F25"/>
    <w:rsid w:val="00A94805"/>
    <w:rsid w:val="00A94D3D"/>
    <w:rsid w:val="00A95AA0"/>
    <w:rsid w:val="00A96A40"/>
    <w:rsid w:val="00A9783B"/>
    <w:rsid w:val="00AA3798"/>
    <w:rsid w:val="00AA424E"/>
    <w:rsid w:val="00AA59D0"/>
    <w:rsid w:val="00AA78A6"/>
    <w:rsid w:val="00AB12FB"/>
    <w:rsid w:val="00AB5081"/>
    <w:rsid w:val="00AB525C"/>
    <w:rsid w:val="00AB6BA8"/>
    <w:rsid w:val="00AC1395"/>
    <w:rsid w:val="00AC195F"/>
    <w:rsid w:val="00AC43D5"/>
    <w:rsid w:val="00AC6E75"/>
    <w:rsid w:val="00AD4B04"/>
    <w:rsid w:val="00AD5ECE"/>
    <w:rsid w:val="00AD79B9"/>
    <w:rsid w:val="00AF5FA0"/>
    <w:rsid w:val="00AF638D"/>
    <w:rsid w:val="00B05AC3"/>
    <w:rsid w:val="00B05BFD"/>
    <w:rsid w:val="00B07785"/>
    <w:rsid w:val="00B108CD"/>
    <w:rsid w:val="00B10C84"/>
    <w:rsid w:val="00B13053"/>
    <w:rsid w:val="00B17808"/>
    <w:rsid w:val="00B20099"/>
    <w:rsid w:val="00B20134"/>
    <w:rsid w:val="00B21D94"/>
    <w:rsid w:val="00B27F72"/>
    <w:rsid w:val="00B327B1"/>
    <w:rsid w:val="00B32F13"/>
    <w:rsid w:val="00B35A86"/>
    <w:rsid w:val="00B366B4"/>
    <w:rsid w:val="00B41B57"/>
    <w:rsid w:val="00B41CE3"/>
    <w:rsid w:val="00B43AF4"/>
    <w:rsid w:val="00B44B49"/>
    <w:rsid w:val="00B53BDF"/>
    <w:rsid w:val="00B568D5"/>
    <w:rsid w:val="00B56D0C"/>
    <w:rsid w:val="00B60FF6"/>
    <w:rsid w:val="00B61D91"/>
    <w:rsid w:val="00B630BC"/>
    <w:rsid w:val="00B638AE"/>
    <w:rsid w:val="00B66289"/>
    <w:rsid w:val="00B677DF"/>
    <w:rsid w:val="00B67EBC"/>
    <w:rsid w:val="00B705CC"/>
    <w:rsid w:val="00B7245B"/>
    <w:rsid w:val="00B730A5"/>
    <w:rsid w:val="00B73222"/>
    <w:rsid w:val="00B764E2"/>
    <w:rsid w:val="00B76F68"/>
    <w:rsid w:val="00B809CF"/>
    <w:rsid w:val="00B83F0F"/>
    <w:rsid w:val="00B86153"/>
    <w:rsid w:val="00B87065"/>
    <w:rsid w:val="00B8731F"/>
    <w:rsid w:val="00B90EF7"/>
    <w:rsid w:val="00B92A38"/>
    <w:rsid w:val="00B93ECE"/>
    <w:rsid w:val="00B97C3C"/>
    <w:rsid w:val="00BA2080"/>
    <w:rsid w:val="00BA3D23"/>
    <w:rsid w:val="00BA536F"/>
    <w:rsid w:val="00BB1BA2"/>
    <w:rsid w:val="00BB2443"/>
    <w:rsid w:val="00BB6B95"/>
    <w:rsid w:val="00BB709E"/>
    <w:rsid w:val="00BB7199"/>
    <w:rsid w:val="00BC2FD2"/>
    <w:rsid w:val="00BC4AD3"/>
    <w:rsid w:val="00BC603C"/>
    <w:rsid w:val="00BC76F6"/>
    <w:rsid w:val="00BD0471"/>
    <w:rsid w:val="00BD0E03"/>
    <w:rsid w:val="00BD0F0A"/>
    <w:rsid w:val="00BD1194"/>
    <w:rsid w:val="00BD3204"/>
    <w:rsid w:val="00BD3386"/>
    <w:rsid w:val="00BE2EC6"/>
    <w:rsid w:val="00BE4AD2"/>
    <w:rsid w:val="00BE6F8C"/>
    <w:rsid w:val="00BE705B"/>
    <w:rsid w:val="00BF0323"/>
    <w:rsid w:val="00BF0D89"/>
    <w:rsid w:val="00BF62D0"/>
    <w:rsid w:val="00BF6D53"/>
    <w:rsid w:val="00C021FB"/>
    <w:rsid w:val="00C04F73"/>
    <w:rsid w:val="00C21910"/>
    <w:rsid w:val="00C24044"/>
    <w:rsid w:val="00C2432E"/>
    <w:rsid w:val="00C25E1E"/>
    <w:rsid w:val="00C2735A"/>
    <w:rsid w:val="00C306B9"/>
    <w:rsid w:val="00C3122A"/>
    <w:rsid w:val="00C33A79"/>
    <w:rsid w:val="00C36119"/>
    <w:rsid w:val="00C3701D"/>
    <w:rsid w:val="00C3796E"/>
    <w:rsid w:val="00C41560"/>
    <w:rsid w:val="00C4641B"/>
    <w:rsid w:val="00C52CA0"/>
    <w:rsid w:val="00C60913"/>
    <w:rsid w:val="00C614BB"/>
    <w:rsid w:val="00C634FE"/>
    <w:rsid w:val="00C66B69"/>
    <w:rsid w:val="00C67128"/>
    <w:rsid w:val="00C71309"/>
    <w:rsid w:val="00C73366"/>
    <w:rsid w:val="00C734DE"/>
    <w:rsid w:val="00C76894"/>
    <w:rsid w:val="00C836BC"/>
    <w:rsid w:val="00C862C1"/>
    <w:rsid w:val="00C90F1A"/>
    <w:rsid w:val="00C94A1D"/>
    <w:rsid w:val="00C9562E"/>
    <w:rsid w:val="00CA02FA"/>
    <w:rsid w:val="00CA0544"/>
    <w:rsid w:val="00CA35CF"/>
    <w:rsid w:val="00CA4520"/>
    <w:rsid w:val="00CA6739"/>
    <w:rsid w:val="00CA6ED8"/>
    <w:rsid w:val="00CB28E6"/>
    <w:rsid w:val="00CB5A6B"/>
    <w:rsid w:val="00CB7293"/>
    <w:rsid w:val="00CC0157"/>
    <w:rsid w:val="00CC02D8"/>
    <w:rsid w:val="00CC2704"/>
    <w:rsid w:val="00CC28BD"/>
    <w:rsid w:val="00CC35EE"/>
    <w:rsid w:val="00CC5888"/>
    <w:rsid w:val="00CC65FE"/>
    <w:rsid w:val="00CC6909"/>
    <w:rsid w:val="00CD03D5"/>
    <w:rsid w:val="00CD3C0B"/>
    <w:rsid w:val="00CD4AAE"/>
    <w:rsid w:val="00CE19B0"/>
    <w:rsid w:val="00CE2BA7"/>
    <w:rsid w:val="00CE63ED"/>
    <w:rsid w:val="00CE6D34"/>
    <w:rsid w:val="00CF3CD6"/>
    <w:rsid w:val="00CF64C4"/>
    <w:rsid w:val="00CF73E3"/>
    <w:rsid w:val="00D00BC0"/>
    <w:rsid w:val="00D02011"/>
    <w:rsid w:val="00D120FD"/>
    <w:rsid w:val="00D1439C"/>
    <w:rsid w:val="00D21164"/>
    <w:rsid w:val="00D23DA4"/>
    <w:rsid w:val="00D24A78"/>
    <w:rsid w:val="00D31D8E"/>
    <w:rsid w:val="00D3337B"/>
    <w:rsid w:val="00D5024E"/>
    <w:rsid w:val="00D5039B"/>
    <w:rsid w:val="00D52B50"/>
    <w:rsid w:val="00D53D57"/>
    <w:rsid w:val="00D5413F"/>
    <w:rsid w:val="00D61F96"/>
    <w:rsid w:val="00D71524"/>
    <w:rsid w:val="00D76E77"/>
    <w:rsid w:val="00D83484"/>
    <w:rsid w:val="00D860F0"/>
    <w:rsid w:val="00D879AA"/>
    <w:rsid w:val="00D90A0B"/>
    <w:rsid w:val="00D94C91"/>
    <w:rsid w:val="00D96068"/>
    <w:rsid w:val="00D97DFC"/>
    <w:rsid w:val="00DA2F91"/>
    <w:rsid w:val="00DB1007"/>
    <w:rsid w:val="00DB1D0F"/>
    <w:rsid w:val="00DB4B60"/>
    <w:rsid w:val="00DC025E"/>
    <w:rsid w:val="00DC0DAF"/>
    <w:rsid w:val="00DC2F45"/>
    <w:rsid w:val="00DC6F8C"/>
    <w:rsid w:val="00DC7985"/>
    <w:rsid w:val="00DD13EC"/>
    <w:rsid w:val="00DD194B"/>
    <w:rsid w:val="00DD3DEC"/>
    <w:rsid w:val="00DD6097"/>
    <w:rsid w:val="00DE200A"/>
    <w:rsid w:val="00DE21A1"/>
    <w:rsid w:val="00DE5C91"/>
    <w:rsid w:val="00DF0491"/>
    <w:rsid w:val="00DF3639"/>
    <w:rsid w:val="00DF50AC"/>
    <w:rsid w:val="00DF6F6F"/>
    <w:rsid w:val="00E02190"/>
    <w:rsid w:val="00E064B3"/>
    <w:rsid w:val="00E06F7F"/>
    <w:rsid w:val="00E10652"/>
    <w:rsid w:val="00E141ED"/>
    <w:rsid w:val="00E23E16"/>
    <w:rsid w:val="00E272EF"/>
    <w:rsid w:val="00E27C9B"/>
    <w:rsid w:val="00E308D1"/>
    <w:rsid w:val="00E3159D"/>
    <w:rsid w:val="00E37826"/>
    <w:rsid w:val="00E43382"/>
    <w:rsid w:val="00E4628A"/>
    <w:rsid w:val="00E46CC0"/>
    <w:rsid w:val="00E52E30"/>
    <w:rsid w:val="00E54212"/>
    <w:rsid w:val="00E54B5D"/>
    <w:rsid w:val="00E61400"/>
    <w:rsid w:val="00E6196A"/>
    <w:rsid w:val="00E62DD6"/>
    <w:rsid w:val="00E648A9"/>
    <w:rsid w:val="00E64CE0"/>
    <w:rsid w:val="00E65C38"/>
    <w:rsid w:val="00E65EE0"/>
    <w:rsid w:val="00E67631"/>
    <w:rsid w:val="00E80941"/>
    <w:rsid w:val="00E810D5"/>
    <w:rsid w:val="00E81FE9"/>
    <w:rsid w:val="00E87A14"/>
    <w:rsid w:val="00E90E7B"/>
    <w:rsid w:val="00E913BF"/>
    <w:rsid w:val="00E94E43"/>
    <w:rsid w:val="00E952AE"/>
    <w:rsid w:val="00EA167C"/>
    <w:rsid w:val="00EA28F3"/>
    <w:rsid w:val="00EA2904"/>
    <w:rsid w:val="00EA3A19"/>
    <w:rsid w:val="00EA3C30"/>
    <w:rsid w:val="00EA4522"/>
    <w:rsid w:val="00EA4887"/>
    <w:rsid w:val="00EA4C59"/>
    <w:rsid w:val="00EA62EC"/>
    <w:rsid w:val="00EB0063"/>
    <w:rsid w:val="00EB2217"/>
    <w:rsid w:val="00EB3864"/>
    <w:rsid w:val="00EB6AEE"/>
    <w:rsid w:val="00EC0B13"/>
    <w:rsid w:val="00EC624F"/>
    <w:rsid w:val="00ED1536"/>
    <w:rsid w:val="00ED43B1"/>
    <w:rsid w:val="00ED49B2"/>
    <w:rsid w:val="00EE1AC4"/>
    <w:rsid w:val="00EE2252"/>
    <w:rsid w:val="00EE2E22"/>
    <w:rsid w:val="00EF06DE"/>
    <w:rsid w:val="00EF2505"/>
    <w:rsid w:val="00EF35F7"/>
    <w:rsid w:val="00EF3A06"/>
    <w:rsid w:val="00EF3DA2"/>
    <w:rsid w:val="00EF76DF"/>
    <w:rsid w:val="00EF7F28"/>
    <w:rsid w:val="00F00AD1"/>
    <w:rsid w:val="00F053A4"/>
    <w:rsid w:val="00F072A7"/>
    <w:rsid w:val="00F07F95"/>
    <w:rsid w:val="00F121AD"/>
    <w:rsid w:val="00F12D15"/>
    <w:rsid w:val="00F149A9"/>
    <w:rsid w:val="00F1682C"/>
    <w:rsid w:val="00F23440"/>
    <w:rsid w:val="00F246DD"/>
    <w:rsid w:val="00F25C6B"/>
    <w:rsid w:val="00F33C24"/>
    <w:rsid w:val="00F35307"/>
    <w:rsid w:val="00F36EF3"/>
    <w:rsid w:val="00F37EEF"/>
    <w:rsid w:val="00F40C87"/>
    <w:rsid w:val="00F4464E"/>
    <w:rsid w:val="00F50E01"/>
    <w:rsid w:val="00F54A8E"/>
    <w:rsid w:val="00F63996"/>
    <w:rsid w:val="00F63A6F"/>
    <w:rsid w:val="00F677D3"/>
    <w:rsid w:val="00F67AE8"/>
    <w:rsid w:val="00F704BA"/>
    <w:rsid w:val="00F70848"/>
    <w:rsid w:val="00F70AF5"/>
    <w:rsid w:val="00F72065"/>
    <w:rsid w:val="00F7773E"/>
    <w:rsid w:val="00F837A9"/>
    <w:rsid w:val="00F90811"/>
    <w:rsid w:val="00F90989"/>
    <w:rsid w:val="00F91612"/>
    <w:rsid w:val="00F940D0"/>
    <w:rsid w:val="00F95795"/>
    <w:rsid w:val="00F95DE9"/>
    <w:rsid w:val="00F96963"/>
    <w:rsid w:val="00F969BE"/>
    <w:rsid w:val="00FA0E1E"/>
    <w:rsid w:val="00FA2908"/>
    <w:rsid w:val="00FA53C3"/>
    <w:rsid w:val="00FA6155"/>
    <w:rsid w:val="00FA6E5A"/>
    <w:rsid w:val="00FB04BD"/>
    <w:rsid w:val="00FB097F"/>
    <w:rsid w:val="00FB2E33"/>
    <w:rsid w:val="00FB304F"/>
    <w:rsid w:val="00FB3BA4"/>
    <w:rsid w:val="00FB5422"/>
    <w:rsid w:val="00FC157A"/>
    <w:rsid w:val="00FC317E"/>
    <w:rsid w:val="00FC5780"/>
    <w:rsid w:val="00FC58D9"/>
    <w:rsid w:val="00FC6C3F"/>
    <w:rsid w:val="00FD6642"/>
    <w:rsid w:val="00FD6706"/>
    <w:rsid w:val="00FE1ACC"/>
    <w:rsid w:val="00FE2C27"/>
    <w:rsid w:val="00FE34B3"/>
    <w:rsid w:val="00FE5619"/>
    <w:rsid w:val="00FE62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C2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F33C24"/>
    <w:rPr>
      <w:rFonts w:ascii="細明體" w:eastAsia="細明體" w:hAnsi="Courier New"/>
    </w:rPr>
  </w:style>
  <w:style w:type="character" w:customStyle="1" w:styleId="a4">
    <w:name w:val="純文字 字元"/>
    <w:basedOn w:val="a0"/>
    <w:link w:val="a3"/>
    <w:uiPriority w:val="99"/>
    <w:locked/>
    <w:rsid w:val="00CB7293"/>
    <w:rPr>
      <w:rFonts w:ascii="細明體" w:eastAsia="細明體" w:hAnsi="Courier New" w:cs="Times New Roman"/>
      <w:kern w:val="2"/>
      <w:sz w:val="24"/>
    </w:rPr>
  </w:style>
  <w:style w:type="paragraph" w:styleId="a5">
    <w:name w:val="footer"/>
    <w:basedOn w:val="a"/>
    <w:link w:val="a6"/>
    <w:uiPriority w:val="99"/>
    <w:rsid w:val="00F33C24"/>
    <w:pPr>
      <w:tabs>
        <w:tab w:val="center" w:pos="4153"/>
        <w:tab w:val="right" w:pos="8306"/>
      </w:tabs>
      <w:snapToGrid w:val="0"/>
    </w:pPr>
    <w:rPr>
      <w:sz w:val="20"/>
      <w:szCs w:val="20"/>
    </w:rPr>
  </w:style>
  <w:style w:type="character" w:customStyle="1" w:styleId="a6">
    <w:name w:val="頁尾 字元"/>
    <w:basedOn w:val="a0"/>
    <w:link w:val="a5"/>
    <w:uiPriority w:val="99"/>
    <w:semiHidden/>
    <w:locked/>
    <w:rsid w:val="0029609A"/>
    <w:rPr>
      <w:rFonts w:cs="Times New Roman"/>
      <w:sz w:val="20"/>
      <w:szCs w:val="20"/>
    </w:rPr>
  </w:style>
  <w:style w:type="character" w:styleId="a7">
    <w:name w:val="page number"/>
    <w:basedOn w:val="a0"/>
    <w:uiPriority w:val="99"/>
    <w:rsid w:val="00F33C24"/>
    <w:rPr>
      <w:rFonts w:cs="Times New Roman"/>
    </w:rPr>
  </w:style>
  <w:style w:type="paragraph" w:styleId="a8">
    <w:name w:val="header"/>
    <w:basedOn w:val="a"/>
    <w:link w:val="a9"/>
    <w:uiPriority w:val="99"/>
    <w:rsid w:val="00F33C24"/>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29609A"/>
    <w:rPr>
      <w:rFonts w:cs="Times New Roman"/>
      <w:sz w:val="20"/>
      <w:szCs w:val="20"/>
    </w:rPr>
  </w:style>
  <w:style w:type="paragraph" w:styleId="aa">
    <w:name w:val="Body Text Indent"/>
    <w:basedOn w:val="a"/>
    <w:link w:val="ab"/>
    <w:uiPriority w:val="99"/>
    <w:rsid w:val="00F33C24"/>
    <w:pPr>
      <w:ind w:leftChars="200" w:left="1200" w:hangingChars="300" w:hanging="720"/>
    </w:pPr>
  </w:style>
  <w:style w:type="character" w:customStyle="1" w:styleId="ab">
    <w:name w:val="本文縮排 字元"/>
    <w:basedOn w:val="a0"/>
    <w:link w:val="aa"/>
    <w:uiPriority w:val="99"/>
    <w:semiHidden/>
    <w:locked/>
    <w:rsid w:val="0029609A"/>
    <w:rPr>
      <w:rFonts w:cs="Times New Roman"/>
      <w:sz w:val="24"/>
      <w:szCs w:val="24"/>
    </w:rPr>
  </w:style>
  <w:style w:type="paragraph" w:styleId="ac">
    <w:name w:val="Date"/>
    <w:basedOn w:val="a"/>
    <w:next w:val="a"/>
    <w:link w:val="ad"/>
    <w:uiPriority w:val="99"/>
    <w:rsid w:val="00F54A8E"/>
    <w:pPr>
      <w:jc w:val="right"/>
    </w:pPr>
  </w:style>
  <w:style w:type="character" w:customStyle="1" w:styleId="ad">
    <w:name w:val="日期 字元"/>
    <w:basedOn w:val="a0"/>
    <w:link w:val="ac"/>
    <w:uiPriority w:val="99"/>
    <w:semiHidden/>
    <w:locked/>
    <w:rsid w:val="0029609A"/>
    <w:rPr>
      <w:rFonts w:cs="Times New Roman"/>
      <w:sz w:val="24"/>
      <w:szCs w:val="24"/>
    </w:rPr>
  </w:style>
  <w:style w:type="paragraph" w:styleId="ae">
    <w:name w:val="Balloon Text"/>
    <w:basedOn w:val="a"/>
    <w:link w:val="af"/>
    <w:uiPriority w:val="99"/>
    <w:semiHidden/>
    <w:rsid w:val="002F42EE"/>
    <w:rPr>
      <w:rFonts w:ascii="Arial" w:hAnsi="Arial"/>
      <w:sz w:val="18"/>
      <w:szCs w:val="18"/>
    </w:rPr>
  </w:style>
  <w:style w:type="character" w:customStyle="1" w:styleId="af">
    <w:name w:val="註解方塊文字 字元"/>
    <w:basedOn w:val="a0"/>
    <w:link w:val="ae"/>
    <w:uiPriority w:val="99"/>
    <w:semiHidden/>
    <w:locked/>
    <w:rsid w:val="0029609A"/>
    <w:rPr>
      <w:rFonts w:ascii="Cambria" w:eastAsia="新細明體" w:hAnsi="Cambria" w:cs="Times New Roman"/>
      <w:sz w:val="2"/>
    </w:rPr>
  </w:style>
  <w:style w:type="paragraph" w:customStyle="1" w:styleId="af0">
    <w:name w:val="公文(主旨)"/>
    <w:basedOn w:val="a"/>
    <w:next w:val="a"/>
    <w:uiPriority w:val="99"/>
    <w:rsid w:val="00674BEE"/>
    <w:pPr>
      <w:widowControl/>
      <w:ind w:left="958" w:hanging="958"/>
      <w:textAlignment w:val="baseline"/>
    </w:pPr>
    <w:rPr>
      <w:rFonts w:eastAsia="標楷體"/>
      <w:noProof/>
      <w:kern w:val="0"/>
      <w:sz w:val="32"/>
      <w:szCs w:val="20"/>
      <w:lang w:bidi="he-IL"/>
    </w:rPr>
  </w:style>
  <w:style w:type="paragraph" w:customStyle="1" w:styleId="Char">
    <w:name w:val="Char"/>
    <w:basedOn w:val="a"/>
    <w:uiPriority w:val="99"/>
    <w:rsid w:val="00A11823"/>
    <w:pPr>
      <w:widowControl/>
      <w:spacing w:after="160" w:line="240" w:lineRule="exact"/>
    </w:pPr>
    <w:rPr>
      <w:rFonts w:ascii="Verdana" w:eastAsia="標楷體" w:hAnsi="Verdana"/>
      <w:kern w:val="0"/>
      <w:sz w:val="20"/>
      <w:szCs w:val="20"/>
      <w:lang w:eastAsia="en-US"/>
    </w:rPr>
  </w:style>
  <w:style w:type="paragraph" w:styleId="HTML">
    <w:name w:val="HTML Preformatted"/>
    <w:basedOn w:val="a"/>
    <w:link w:val="HTML0"/>
    <w:uiPriority w:val="99"/>
    <w:rsid w:val="00CC27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character" w:customStyle="1" w:styleId="HTML0">
    <w:name w:val="HTML 預設格式 字元"/>
    <w:basedOn w:val="a0"/>
    <w:link w:val="HTML"/>
    <w:uiPriority w:val="99"/>
    <w:locked/>
    <w:rsid w:val="00CC2704"/>
    <w:rPr>
      <w:rFonts w:ascii="細明體" w:eastAsia="細明體" w:hAnsi="Courier New" w:cs="Times New Roman"/>
    </w:rPr>
  </w:style>
  <w:style w:type="paragraph" w:customStyle="1" w:styleId="Default">
    <w:name w:val="Default"/>
    <w:uiPriority w:val="99"/>
    <w:rsid w:val="001F065D"/>
    <w:pPr>
      <w:widowControl w:val="0"/>
      <w:autoSpaceDE w:val="0"/>
      <w:autoSpaceDN w:val="0"/>
      <w:adjustRightInd w:val="0"/>
    </w:pPr>
    <w:rPr>
      <w:rFonts w:ascii="Arial" w:hAnsi="Arial" w:cs="Arial"/>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C2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F33C24"/>
    <w:rPr>
      <w:rFonts w:ascii="細明體" w:eastAsia="細明體" w:hAnsi="Courier New"/>
    </w:rPr>
  </w:style>
  <w:style w:type="character" w:customStyle="1" w:styleId="a4">
    <w:name w:val="純文字 字元"/>
    <w:basedOn w:val="a0"/>
    <w:link w:val="a3"/>
    <w:uiPriority w:val="99"/>
    <w:locked/>
    <w:rsid w:val="00CB7293"/>
    <w:rPr>
      <w:rFonts w:ascii="細明體" w:eastAsia="細明體" w:hAnsi="Courier New" w:cs="Times New Roman"/>
      <w:kern w:val="2"/>
      <w:sz w:val="24"/>
    </w:rPr>
  </w:style>
  <w:style w:type="paragraph" w:styleId="a5">
    <w:name w:val="footer"/>
    <w:basedOn w:val="a"/>
    <w:link w:val="a6"/>
    <w:uiPriority w:val="99"/>
    <w:rsid w:val="00F33C24"/>
    <w:pPr>
      <w:tabs>
        <w:tab w:val="center" w:pos="4153"/>
        <w:tab w:val="right" w:pos="8306"/>
      </w:tabs>
      <w:snapToGrid w:val="0"/>
    </w:pPr>
    <w:rPr>
      <w:sz w:val="20"/>
      <w:szCs w:val="20"/>
    </w:rPr>
  </w:style>
  <w:style w:type="character" w:customStyle="1" w:styleId="a6">
    <w:name w:val="頁尾 字元"/>
    <w:basedOn w:val="a0"/>
    <w:link w:val="a5"/>
    <w:uiPriority w:val="99"/>
    <w:semiHidden/>
    <w:locked/>
    <w:rsid w:val="0029609A"/>
    <w:rPr>
      <w:rFonts w:cs="Times New Roman"/>
      <w:sz w:val="20"/>
      <w:szCs w:val="20"/>
    </w:rPr>
  </w:style>
  <w:style w:type="character" w:styleId="a7">
    <w:name w:val="page number"/>
    <w:basedOn w:val="a0"/>
    <w:uiPriority w:val="99"/>
    <w:rsid w:val="00F33C24"/>
    <w:rPr>
      <w:rFonts w:cs="Times New Roman"/>
    </w:rPr>
  </w:style>
  <w:style w:type="paragraph" w:styleId="a8">
    <w:name w:val="header"/>
    <w:basedOn w:val="a"/>
    <w:link w:val="a9"/>
    <w:uiPriority w:val="99"/>
    <w:rsid w:val="00F33C24"/>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29609A"/>
    <w:rPr>
      <w:rFonts w:cs="Times New Roman"/>
      <w:sz w:val="20"/>
      <w:szCs w:val="20"/>
    </w:rPr>
  </w:style>
  <w:style w:type="paragraph" w:styleId="aa">
    <w:name w:val="Body Text Indent"/>
    <w:basedOn w:val="a"/>
    <w:link w:val="ab"/>
    <w:uiPriority w:val="99"/>
    <w:rsid w:val="00F33C24"/>
    <w:pPr>
      <w:ind w:leftChars="200" w:left="1200" w:hangingChars="300" w:hanging="720"/>
    </w:pPr>
  </w:style>
  <w:style w:type="character" w:customStyle="1" w:styleId="ab">
    <w:name w:val="本文縮排 字元"/>
    <w:basedOn w:val="a0"/>
    <w:link w:val="aa"/>
    <w:uiPriority w:val="99"/>
    <w:semiHidden/>
    <w:locked/>
    <w:rsid w:val="0029609A"/>
    <w:rPr>
      <w:rFonts w:cs="Times New Roman"/>
      <w:sz w:val="24"/>
      <w:szCs w:val="24"/>
    </w:rPr>
  </w:style>
  <w:style w:type="paragraph" w:styleId="ac">
    <w:name w:val="Date"/>
    <w:basedOn w:val="a"/>
    <w:next w:val="a"/>
    <w:link w:val="ad"/>
    <w:uiPriority w:val="99"/>
    <w:rsid w:val="00F54A8E"/>
    <w:pPr>
      <w:jc w:val="right"/>
    </w:pPr>
  </w:style>
  <w:style w:type="character" w:customStyle="1" w:styleId="ad">
    <w:name w:val="日期 字元"/>
    <w:basedOn w:val="a0"/>
    <w:link w:val="ac"/>
    <w:uiPriority w:val="99"/>
    <w:semiHidden/>
    <w:locked/>
    <w:rsid w:val="0029609A"/>
    <w:rPr>
      <w:rFonts w:cs="Times New Roman"/>
      <w:sz w:val="24"/>
      <w:szCs w:val="24"/>
    </w:rPr>
  </w:style>
  <w:style w:type="paragraph" w:styleId="ae">
    <w:name w:val="Balloon Text"/>
    <w:basedOn w:val="a"/>
    <w:link w:val="af"/>
    <w:uiPriority w:val="99"/>
    <w:semiHidden/>
    <w:rsid w:val="002F42EE"/>
    <w:rPr>
      <w:rFonts w:ascii="Arial" w:hAnsi="Arial"/>
      <w:sz w:val="18"/>
      <w:szCs w:val="18"/>
    </w:rPr>
  </w:style>
  <w:style w:type="character" w:customStyle="1" w:styleId="af">
    <w:name w:val="註解方塊文字 字元"/>
    <w:basedOn w:val="a0"/>
    <w:link w:val="ae"/>
    <w:uiPriority w:val="99"/>
    <w:semiHidden/>
    <w:locked/>
    <w:rsid w:val="0029609A"/>
    <w:rPr>
      <w:rFonts w:ascii="Cambria" w:eastAsia="新細明體" w:hAnsi="Cambria" w:cs="Times New Roman"/>
      <w:sz w:val="2"/>
    </w:rPr>
  </w:style>
  <w:style w:type="paragraph" w:customStyle="1" w:styleId="af0">
    <w:name w:val="公文(主旨)"/>
    <w:basedOn w:val="a"/>
    <w:next w:val="a"/>
    <w:uiPriority w:val="99"/>
    <w:rsid w:val="00674BEE"/>
    <w:pPr>
      <w:widowControl/>
      <w:ind w:left="958" w:hanging="958"/>
      <w:textAlignment w:val="baseline"/>
    </w:pPr>
    <w:rPr>
      <w:rFonts w:eastAsia="標楷體"/>
      <w:noProof/>
      <w:kern w:val="0"/>
      <w:sz w:val="32"/>
      <w:szCs w:val="20"/>
      <w:lang w:bidi="he-IL"/>
    </w:rPr>
  </w:style>
  <w:style w:type="paragraph" w:customStyle="1" w:styleId="Char">
    <w:name w:val="Char"/>
    <w:basedOn w:val="a"/>
    <w:uiPriority w:val="99"/>
    <w:rsid w:val="00A11823"/>
    <w:pPr>
      <w:widowControl/>
      <w:spacing w:after="160" w:line="240" w:lineRule="exact"/>
    </w:pPr>
    <w:rPr>
      <w:rFonts w:ascii="Verdana" w:eastAsia="標楷體" w:hAnsi="Verdana"/>
      <w:kern w:val="0"/>
      <w:sz w:val="20"/>
      <w:szCs w:val="20"/>
      <w:lang w:eastAsia="en-US"/>
    </w:rPr>
  </w:style>
  <w:style w:type="paragraph" w:styleId="HTML">
    <w:name w:val="HTML Preformatted"/>
    <w:basedOn w:val="a"/>
    <w:link w:val="HTML0"/>
    <w:uiPriority w:val="99"/>
    <w:rsid w:val="00CC27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character" w:customStyle="1" w:styleId="HTML0">
    <w:name w:val="HTML 預設格式 字元"/>
    <w:basedOn w:val="a0"/>
    <w:link w:val="HTML"/>
    <w:uiPriority w:val="99"/>
    <w:locked/>
    <w:rsid w:val="00CC2704"/>
    <w:rPr>
      <w:rFonts w:ascii="細明體" w:eastAsia="細明體" w:hAnsi="Courier New" w:cs="Times New Roman"/>
    </w:rPr>
  </w:style>
  <w:style w:type="paragraph" w:customStyle="1" w:styleId="Default">
    <w:name w:val="Default"/>
    <w:uiPriority w:val="99"/>
    <w:rsid w:val="001F065D"/>
    <w:pPr>
      <w:widowControl w:val="0"/>
      <w:autoSpaceDE w:val="0"/>
      <w:autoSpaceDN w:val="0"/>
      <w:adjustRightInd w:val="0"/>
    </w:pPr>
    <w:rPr>
      <w:rFonts w:ascii="Arial" w:hAnsi="Arial" w:cs="Arial"/>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465</Words>
  <Characters>2652</Characters>
  <Application>Microsoft Office Word</Application>
  <DocSecurity>0</DocSecurity>
  <Lines>22</Lines>
  <Paragraphs>6</Paragraphs>
  <ScaleCrop>false</ScaleCrop>
  <Company>hkclsf</Company>
  <LinksUpToDate>false</LinksUpToDate>
  <CharactersWithSpaces>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dc:title>
  <dc:creator>sh88137</dc:creator>
  <cp:lastModifiedBy>張瓊文</cp:lastModifiedBy>
  <cp:revision>2</cp:revision>
  <cp:lastPrinted>2015-04-02T06:15:00Z</cp:lastPrinted>
  <dcterms:created xsi:type="dcterms:W3CDTF">2018-08-31T07:39:00Z</dcterms:created>
  <dcterms:modified xsi:type="dcterms:W3CDTF">2018-08-31T07:39:00Z</dcterms:modified>
</cp:coreProperties>
</file>