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9BF" w:rsidRPr="00F544E0" w:rsidRDefault="00B259BF" w:rsidP="00A46D5D">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520" w:lineRule="atLeast"/>
        <w:jc w:val="center"/>
        <w:rPr>
          <w:rFonts w:ascii="標楷體" w:eastAsia="標楷體" w:hAnsi="標楷體"/>
          <w:b/>
          <w:bCs/>
          <w:color w:val="000000"/>
          <w:sz w:val="36"/>
          <w:szCs w:val="36"/>
        </w:rPr>
      </w:pPr>
      <w:r w:rsidRPr="00F544E0">
        <w:rPr>
          <w:rFonts w:ascii="標楷體" w:eastAsia="標楷體" w:hAnsi="標楷體" w:hint="eastAsia"/>
          <w:b/>
          <w:bCs/>
          <w:color w:val="000000"/>
          <w:sz w:val="36"/>
          <w:szCs w:val="36"/>
        </w:rPr>
        <w:t>全權委託投資買賣期貨開戶暨受託契約 (範本)</w:t>
      </w:r>
    </w:p>
    <w:p w:rsidR="00B259BF" w:rsidRDefault="00B259BF" w:rsidP="00B259BF">
      <w:pPr>
        <w:pStyle w:val="HTML"/>
        <w:snapToGrid w:val="0"/>
        <w:spacing w:line="520" w:lineRule="atLeast"/>
        <w:jc w:val="both"/>
        <w:rPr>
          <w:rFonts w:ascii="標楷體" w:eastAsia="標楷體" w:hAnsi="標楷體"/>
          <w:color w:val="000000"/>
          <w:sz w:val="28"/>
        </w:rPr>
      </w:pPr>
    </w:p>
    <w:p w:rsidR="00B259BF" w:rsidRPr="00B512D4" w:rsidRDefault="00B259BF" w:rsidP="00B259BF">
      <w:pPr>
        <w:pStyle w:val="HTML"/>
        <w:snapToGrid w:val="0"/>
        <w:ind w:leftChars="1150" w:left="2760"/>
        <w:jc w:val="both"/>
        <w:rPr>
          <w:rFonts w:ascii="標楷體" w:eastAsia="標楷體" w:hAnsi="標楷體"/>
          <w:color w:val="000000"/>
          <w:sz w:val="20"/>
          <w:szCs w:val="20"/>
        </w:rPr>
      </w:pPr>
      <w:smartTag w:uri="urn:schemas-microsoft-com:office:smarttags" w:element="chsdate">
        <w:smartTagPr>
          <w:attr w:name="IsROCDate" w:val="True"/>
          <w:attr w:name="IsLunarDate" w:val="False"/>
          <w:attr w:name="Day" w:val="13"/>
          <w:attr w:name="Month" w:val="8"/>
          <w:attr w:name="Year" w:val="2004"/>
        </w:smartTagPr>
        <w:r w:rsidRPr="00B512D4">
          <w:rPr>
            <w:rFonts w:ascii="標楷體" w:eastAsia="標楷體" w:hAnsi="標楷體" w:hint="eastAsia"/>
            <w:color w:val="000000"/>
            <w:sz w:val="20"/>
            <w:szCs w:val="20"/>
          </w:rPr>
          <w:t>中華民國九十三年八月十三日</w:t>
        </w:r>
      </w:smartTag>
      <w:r w:rsidRPr="00B512D4">
        <w:rPr>
          <w:rFonts w:ascii="標楷體" w:eastAsia="標楷體" w:hAnsi="標楷體" w:hint="eastAsia"/>
          <w:color w:val="000000"/>
          <w:sz w:val="20"/>
          <w:szCs w:val="20"/>
        </w:rPr>
        <w:t>中華民國期貨商業同業公會 九三中期商會字第0930000437號函訂定發布</w:t>
      </w:r>
    </w:p>
    <w:p w:rsidR="00B259BF" w:rsidRPr="00B512D4" w:rsidRDefault="00B259BF" w:rsidP="00B259BF">
      <w:pPr>
        <w:pStyle w:val="HTML"/>
        <w:snapToGrid w:val="0"/>
        <w:ind w:leftChars="1150" w:left="2760"/>
        <w:jc w:val="both"/>
        <w:rPr>
          <w:rFonts w:ascii="標楷體" w:eastAsia="標楷體" w:hAnsi="標楷體"/>
          <w:color w:val="000000"/>
          <w:sz w:val="20"/>
          <w:szCs w:val="20"/>
        </w:rPr>
      </w:pPr>
      <w:smartTag w:uri="urn:schemas-microsoft-com:office:smarttags" w:element="chsdate">
        <w:smartTagPr>
          <w:attr w:name="IsROCDate" w:val="True"/>
          <w:attr w:name="IsLunarDate" w:val="False"/>
          <w:attr w:name="Day" w:val="9"/>
          <w:attr w:name="Month" w:val="11"/>
          <w:attr w:name="Year" w:val="2004"/>
        </w:smartTagPr>
        <w:r w:rsidRPr="00B512D4">
          <w:rPr>
            <w:rFonts w:ascii="標楷體" w:eastAsia="標楷體" w:hAnsi="標楷體" w:hint="eastAsia"/>
            <w:color w:val="000000"/>
            <w:sz w:val="20"/>
            <w:szCs w:val="20"/>
          </w:rPr>
          <w:t>中華民國九十三年十一月九日</w:t>
        </w:r>
      </w:smartTag>
      <w:r w:rsidRPr="00B512D4">
        <w:rPr>
          <w:rFonts w:ascii="標楷體" w:eastAsia="標楷體" w:hAnsi="標楷體" w:hint="eastAsia"/>
          <w:color w:val="000000"/>
          <w:sz w:val="20"/>
          <w:szCs w:val="20"/>
        </w:rPr>
        <w:t>中華民國期貨業商業同業公會九三中期商會字第0930001329號函修正發布</w:t>
      </w:r>
    </w:p>
    <w:p w:rsidR="00B259BF" w:rsidRDefault="00B259BF" w:rsidP="00B259BF">
      <w:pPr>
        <w:pStyle w:val="HTML"/>
        <w:snapToGrid w:val="0"/>
        <w:ind w:leftChars="1150" w:left="2760"/>
        <w:jc w:val="both"/>
        <w:rPr>
          <w:rFonts w:ascii="標楷體" w:eastAsia="標楷體" w:hAnsi="標楷體" w:hint="eastAsia"/>
          <w:color w:val="000000"/>
          <w:sz w:val="20"/>
          <w:szCs w:val="20"/>
        </w:rPr>
      </w:pPr>
      <w:r w:rsidRPr="00B512D4">
        <w:rPr>
          <w:rFonts w:ascii="標楷體" w:eastAsia="標楷體" w:hAnsi="標楷體" w:hint="eastAsia"/>
          <w:color w:val="000000"/>
          <w:sz w:val="20"/>
          <w:szCs w:val="20"/>
        </w:rPr>
        <w:t>中華民國一百零二年五月二十一日金融監督管理委員會證券期貨局金</w:t>
      </w:r>
      <w:proofErr w:type="gramStart"/>
      <w:r w:rsidRPr="00B512D4">
        <w:rPr>
          <w:rFonts w:ascii="標楷體" w:eastAsia="標楷體" w:hAnsi="標楷體" w:hint="eastAsia"/>
          <w:color w:val="000000"/>
          <w:sz w:val="20"/>
          <w:szCs w:val="20"/>
        </w:rPr>
        <w:t>管證期字</w:t>
      </w:r>
      <w:proofErr w:type="gramEnd"/>
      <w:r w:rsidRPr="00B512D4">
        <w:rPr>
          <w:rFonts w:ascii="標楷體" w:eastAsia="標楷體" w:hAnsi="標楷體" w:hint="eastAsia"/>
          <w:color w:val="000000"/>
          <w:sz w:val="20"/>
          <w:szCs w:val="20"/>
        </w:rPr>
        <w:t>第1020014734號函</w:t>
      </w:r>
      <w:proofErr w:type="gramStart"/>
      <w:r w:rsidRPr="00B512D4">
        <w:rPr>
          <w:rFonts w:ascii="標楷體" w:eastAsia="標楷體" w:hAnsi="標楷體" w:hint="eastAsia"/>
          <w:color w:val="000000"/>
          <w:sz w:val="20"/>
          <w:szCs w:val="20"/>
        </w:rPr>
        <w:t>復洽悉，</w:t>
      </w:r>
      <w:proofErr w:type="gramEnd"/>
      <w:r w:rsidRPr="00B512D4">
        <w:rPr>
          <w:rFonts w:ascii="標楷體" w:eastAsia="標楷體" w:hAnsi="標楷體" w:hint="eastAsia"/>
          <w:color w:val="000000"/>
          <w:sz w:val="20"/>
          <w:szCs w:val="20"/>
        </w:rPr>
        <w:t>中華民國一百零二年六月三日中華民國期貨業商業同業公會中期商字第1020003037號函修正；並自一百零二年七月一日起實施</w:t>
      </w:r>
    </w:p>
    <w:p w:rsidR="00643E5D" w:rsidRPr="00643E5D" w:rsidRDefault="00643E5D" w:rsidP="00B259BF">
      <w:pPr>
        <w:pStyle w:val="HTML"/>
        <w:snapToGrid w:val="0"/>
        <w:ind w:leftChars="1150" w:left="2760"/>
        <w:jc w:val="both"/>
        <w:rPr>
          <w:rFonts w:ascii="標楷體" w:eastAsia="標楷體" w:hAnsi="標楷體"/>
          <w:color w:val="000000"/>
          <w:sz w:val="20"/>
          <w:szCs w:val="20"/>
        </w:rPr>
      </w:pPr>
      <w:r w:rsidRPr="00B512D4">
        <w:rPr>
          <w:rFonts w:ascii="標楷體" w:eastAsia="標楷體" w:hAnsi="標楷體" w:hint="eastAsia"/>
          <w:color w:val="000000"/>
          <w:sz w:val="20"/>
          <w:szCs w:val="20"/>
        </w:rPr>
        <w:t>中華民國一百零</w:t>
      </w:r>
      <w:r>
        <w:rPr>
          <w:rFonts w:ascii="標楷體" w:eastAsia="標楷體" w:hAnsi="標楷體" w:hint="eastAsia"/>
          <w:color w:val="000000"/>
          <w:sz w:val="20"/>
          <w:szCs w:val="20"/>
        </w:rPr>
        <w:t>六</w:t>
      </w:r>
      <w:r w:rsidRPr="00B512D4">
        <w:rPr>
          <w:rFonts w:ascii="標楷體" w:eastAsia="標楷體" w:hAnsi="標楷體" w:hint="eastAsia"/>
          <w:color w:val="000000"/>
          <w:sz w:val="20"/>
          <w:szCs w:val="20"/>
        </w:rPr>
        <w:t>年五月</w:t>
      </w:r>
      <w:r>
        <w:rPr>
          <w:rFonts w:ascii="標楷體" w:eastAsia="標楷體" w:hAnsi="標楷體" w:hint="eastAsia"/>
          <w:color w:val="000000"/>
          <w:sz w:val="20"/>
          <w:szCs w:val="20"/>
        </w:rPr>
        <w:t>五</w:t>
      </w:r>
      <w:r w:rsidRPr="00B512D4">
        <w:rPr>
          <w:rFonts w:ascii="標楷體" w:eastAsia="標楷體" w:hAnsi="標楷體" w:hint="eastAsia"/>
          <w:color w:val="000000"/>
          <w:sz w:val="20"/>
          <w:szCs w:val="20"/>
        </w:rPr>
        <w:t>日金融監督管理委員會金</w:t>
      </w:r>
      <w:proofErr w:type="gramStart"/>
      <w:r w:rsidRPr="00B512D4">
        <w:rPr>
          <w:rFonts w:ascii="標楷體" w:eastAsia="標楷體" w:hAnsi="標楷體" w:hint="eastAsia"/>
          <w:color w:val="000000"/>
          <w:sz w:val="20"/>
          <w:szCs w:val="20"/>
        </w:rPr>
        <w:t>管證期字</w:t>
      </w:r>
      <w:proofErr w:type="gramEnd"/>
      <w:r w:rsidRPr="00B512D4">
        <w:rPr>
          <w:rFonts w:ascii="標楷體" w:eastAsia="標楷體" w:hAnsi="標楷體" w:hint="eastAsia"/>
          <w:color w:val="000000"/>
          <w:sz w:val="20"/>
          <w:szCs w:val="20"/>
        </w:rPr>
        <w:t>第10</w:t>
      </w:r>
      <w:r>
        <w:rPr>
          <w:rFonts w:ascii="標楷體" w:eastAsia="標楷體" w:hAnsi="標楷體" w:hint="eastAsia"/>
          <w:color w:val="000000"/>
          <w:sz w:val="20"/>
          <w:szCs w:val="20"/>
        </w:rPr>
        <w:t>60016115</w:t>
      </w:r>
      <w:r w:rsidRPr="00B512D4">
        <w:rPr>
          <w:rFonts w:ascii="標楷體" w:eastAsia="標楷體" w:hAnsi="標楷體" w:hint="eastAsia"/>
          <w:color w:val="000000"/>
          <w:sz w:val="20"/>
          <w:szCs w:val="20"/>
        </w:rPr>
        <w:t>號函</w:t>
      </w:r>
      <w:r>
        <w:rPr>
          <w:rFonts w:ascii="標楷體" w:eastAsia="標楷體" w:hAnsi="標楷體" w:hint="eastAsia"/>
          <w:color w:val="000000"/>
          <w:sz w:val="20"/>
          <w:szCs w:val="20"/>
        </w:rPr>
        <w:t>准予備查</w:t>
      </w:r>
    </w:p>
    <w:p w:rsidR="00B259BF" w:rsidRPr="00A807EF" w:rsidRDefault="00B259BF" w:rsidP="00B259BF">
      <w:pPr>
        <w:pStyle w:val="HTML"/>
        <w:snapToGrid w:val="0"/>
        <w:spacing w:line="520" w:lineRule="atLeast"/>
        <w:jc w:val="both"/>
        <w:rPr>
          <w:rFonts w:ascii="標楷體" w:eastAsia="標楷體" w:hAnsi="標楷體"/>
          <w:color w:val="000000"/>
        </w:rPr>
      </w:pPr>
    </w:p>
    <w:p w:rsidR="00B259BF" w:rsidRPr="00B259BF" w:rsidRDefault="00B259BF" w:rsidP="005F2A25">
      <w:pPr>
        <w:pStyle w:val="HTML"/>
        <w:tabs>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600" w:lineRule="atLeast"/>
        <w:jc w:val="both"/>
        <w:rPr>
          <w:rFonts w:ascii="標楷體" w:eastAsia="標楷體" w:hAnsi="標楷體"/>
          <w:color w:val="000000"/>
        </w:rPr>
      </w:pPr>
      <w:r w:rsidRPr="00B259BF">
        <w:rPr>
          <w:rFonts w:ascii="標楷體" w:eastAsia="標楷體" w:hAnsi="標楷體" w:hint="eastAsia"/>
          <w:color w:val="000000"/>
        </w:rPr>
        <w:t>立約人甲方：__________________________ (委託人)</w:t>
      </w:r>
      <w:r w:rsidR="005F2A25">
        <w:rPr>
          <w:rFonts w:ascii="標楷體" w:eastAsia="標楷體" w:hAnsi="標楷體"/>
          <w:color w:val="000000"/>
        </w:rPr>
        <w:tab/>
      </w:r>
      <w:r w:rsidR="005F2A25">
        <w:rPr>
          <w:rFonts w:ascii="標楷體" w:eastAsia="標楷體" w:hAnsi="標楷體"/>
          <w:color w:val="000000"/>
        </w:rPr>
        <w:tab/>
      </w:r>
      <w:r w:rsidR="005F2A25">
        <w:rPr>
          <w:rFonts w:ascii="標楷體" w:eastAsia="標楷體" w:hAnsi="標楷體"/>
          <w:color w:val="000000"/>
        </w:rPr>
        <w:tab/>
      </w:r>
      <w:r w:rsidR="005F2A25">
        <w:rPr>
          <w:rFonts w:ascii="標楷體" w:eastAsia="標楷體" w:hAnsi="標楷體"/>
          <w:color w:val="000000"/>
        </w:rPr>
        <w:tab/>
      </w:r>
      <w:r w:rsidR="005F2A25">
        <w:rPr>
          <w:rFonts w:ascii="標楷體" w:eastAsia="標楷體" w:hAnsi="標楷體"/>
          <w:color w:val="000000"/>
        </w:rPr>
        <w:tab/>
      </w:r>
      <w:r w:rsidR="005F2A25">
        <w:rPr>
          <w:rFonts w:ascii="標楷體" w:eastAsia="標楷體" w:hAnsi="標楷體"/>
          <w:color w:val="000000"/>
        </w:rPr>
        <w:tab/>
      </w:r>
      <w:bookmarkStart w:id="0" w:name="_GoBack"/>
      <w:bookmarkEnd w:id="0"/>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代理人：___________________ (保管機構)</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hint="eastAsia"/>
          <w:color w:val="000000"/>
        </w:rPr>
        <w:t>立約人乙方：__________________________ (期貨經紀商)</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hint="eastAsia"/>
          <w:color w:val="000000"/>
        </w:rPr>
        <w:t>立約人丙方：__________________________ (全權委託投資受任人)</w:t>
      </w:r>
    </w:p>
    <w:p w:rsidR="00B259BF" w:rsidRPr="00B259BF" w:rsidRDefault="00B259BF" w:rsidP="00B259BF">
      <w:pPr>
        <w:pStyle w:val="HTML"/>
        <w:snapToGrid w:val="0"/>
        <w:spacing w:line="520" w:lineRule="atLeast"/>
        <w:jc w:val="both"/>
        <w:rPr>
          <w:rFonts w:ascii="標楷體" w:eastAsia="標楷體" w:hAnsi="標楷體"/>
          <w:color w:val="000000"/>
        </w:rPr>
      </w:pPr>
    </w:p>
    <w:p w:rsidR="00B259BF" w:rsidRPr="00B259BF" w:rsidRDefault="00B259BF" w:rsidP="00B259BF">
      <w:pPr>
        <w:pStyle w:val="HTML"/>
        <w:snapToGrid w:val="0"/>
        <w:spacing w:line="600" w:lineRule="atLeast"/>
        <w:ind w:firstLineChars="192" w:firstLine="461"/>
        <w:jc w:val="both"/>
        <w:rPr>
          <w:rFonts w:ascii="標楷體" w:eastAsia="標楷體" w:hAnsi="標楷體"/>
          <w:color w:val="000000"/>
        </w:rPr>
      </w:pPr>
      <w:r w:rsidRPr="00B259BF">
        <w:rPr>
          <w:rFonts w:ascii="標楷體" w:eastAsia="標楷體" w:hAnsi="標楷體" w:hint="eastAsia"/>
          <w:color w:val="000000"/>
        </w:rPr>
        <w:t>茲以甲方依「證券投資信託事業證券投資顧問事業經營全權委託投資業務管理辦法」 (以下簡稱管理辦法) 之規定，與丙方簽訂全權委託投資契約，賦予丙方就全權委託投資資產於契約約定範圍內得全權代理甲方從事期貨交易；並與保管機構簽訂委任契約，賦予保管機構就上開因交易所需結算交割之全權代理權。為此爰由保管機構代理甲方並會同丙方，與乙方共同依臺灣期貨交易所股份有限公司 (以下簡稱臺灣期貨交易所)業務規則、期貨經紀商受託契約準則及相關法令章則規定，簽訂本契約，三方同意遵守下列條款：</w:t>
      </w:r>
    </w:p>
    <w:p w:rsidR="00B259BF" w:rsidRPr="00B259BF" w:rsidRDefault="00B259BF" w:rsidP="00B259BF">
      <w:pPr>
        <w:pStyle w:val="HTML"/>
        <w:snapToGrid w:val="0"/>
        <w:spacing w:line="600" w:lineRule="atLeast"/>
        <w:ind w:firstLineChars="192" w:firstLine="461"/>
        <w:jc w:val="both"/>
        <w:rPr>
          <w:rFonts w:ascii="標楷體" w:eastAsia="標楷體" w:hAnsi="標楷體"/>
          <w:color w:val="000000"/>
        </w:rPr>
      </w:pPr>
    </w:p>
    <w:p w:rsidR="00B259BF" w:rsidRPr="00B259BF" w:rsidRDefault="00B259BF" w:rsidP="00B259BF">
      <w:pPr>
        <w:pStyle w:val="HTML"/>
        <w:numPr>
          <w:ilvl w:val="0"/>
          <w:numId w:val="38"/>
        </w:numPr>
        <w:snapToGrid w:val="0"/>
        <w:spacing w:line="540" w:lineRule="atLeast"/>
        <w:ind w:left="0" w:firstLine="0"/>
        <w:jc w:val="both"/>
        <w:rPr>
          <w:rFonts w:ascii="標楷體" w:eastAsia="標楷體" w:hAnsi="標楷體"/>
          <w:color w:val="000000"/>
        </w:rPr>
      </w:pPr>
      <w:r w:rsidRPr="00B259BF">
        <w:rPr>
          <w:rFonts w:ascii="標楷體" w:eastAsia="標楷體" w:hAnsi="標楷體" w:hint="eastAsia"/>
          <w:color w:val="000000"/>
        </w:rPr>
        <w:t>(完全契約)</w:t>
      </w:r>
    </w:p>
    <w:p w:rsidR="00B259BF" w:rsidRPr="00B259BF" w:rsidRDefault="00B259BF" w:rsidP="00B259BF">
      <w:pPr>
        <w:pStyle w:val="HTML"/>
        <w:snapToGrid w:val="0"/>
        <w:spacing w:line="60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金融監督管理委員會</w:t>
      </w:r>
      <w:r w:rsidRPr="00B259BF">
        <w:rPr>
          <w:rFonts w:ascii="標楷體" w:eastAsia="標楷體" w:hAnsi="標楷體"/>
          <w:color w:val="000000"/>
        </w:rPr>
        <w:t>、</w:t>
      </w:r>
      <w:r w:rsidRPr="00B259BF">
        <w:rPr>
          <w:rFonts w:ascii="標楷體" w:eastAsia="標楷體" w:hAnsi="標楷體" w:hint="eastAsia"/>
          <w:color w:val="000000"/>
        </w:rPr>
        <w:t>中華民國</w:t>
      </w:r>
      <w:r w:rsidRPr="00B259BF">
        <w:rPr>
          <w:rFonts w:ascii="標楷體" w:eastAsia="標楷體" w:hAnsi="標楷體"/>
          <w:color w:val="000000"/>
        </w:rPr>
        <w:t>期貨</w:t>
      </w:r>
      <w:r w:rsidRPr="00B259BF">
        <w:rPr>
          <w:rFonts w:ascii="標楷體" w:eastAsia="標楷體" w:hAnsi="標楷體" w:hint="eastAsia"/>
          <w:color w:val="000000"/>
        </w:rPr>
        <w:t>業</w:t>
      </w:r>
      <w:r w:rsidRPr="00B259BF">
        <w:rPr>
          <w:rFonts w:ascii="標楷體" w:eastAsia="標楷體" w:hAnsi="標楷體"/>
          <w:color w:val="000000"/>
        </w:rPr>
        <w:t>商業同業公會、</w:t>
      </w:r>
      <w:r w:rsidRPr="00B259BF">
        <w:rPr>
          <w:rFonts w:ascii="標楷體" w:eastAsia="標楷體" w:hAnsi="標楷體" w:hint="eastAsia"/>
          <w:color w:val="000000"/>
        </w:rPr>
        <w:t>中華民國證券投資信託暨顧問商業同業公會之規定、臺灣期貨交易所業務規則、期貨經紀商受託契約準則及其他相關法令章則規定，</w:t>
      </w:r>
      <w:r w:rsidRPr="00B259BF">
        <w:rPr>
          <w:rFonts w:ascii="標楷體" w:eastAsia="標楷體" w:hAnsi="標楷體"/>
          <w:color w:val="000000"/>
        </w:rPr>
        <w:t>及</w:t>
      </w:r>
      <w:r w:rsidRPr="00B259BF">
        <w:rPr>
          <w:rFonts w:ascii="標楷體" w:eastAsia="標楷體" w:hAnsi="標楷體" w:hint="eastAsia"/>
          <w:color w:val="000000"/>
        </w:rPr>
        <w:t>全權委託投資業務相關</w:t>
      </w:r>
      <w:r w:rsidRPr="00B259BF">
        <w:rPr>
          <w:rFonts w:ascii="標楷體" w:eastAsia="標楷體" w:hAnsi="標楷體"/>
          <w:color w:val="000000"/>
        </w:rPr>
        <w:t>管理</w:t>
      </w:r>
      <w:r w:rsidRPr="00B259BF">
        <w:rPr>
          <w:rFonts w:ascii="標楷體" w:eastAsia="標楷體" w:hAnsi="標楷體" w:hint="eastAsia"/>
          <w:color w:val="000000"/>
        </w:rPr>
        <w:t>辦法</w:t>
      </w:r>
      <w:r w:rsidRPr="00B259BF">
        <w:rPr>
          <w:rFonts w:ascii="標楷體" w:eastAsia="標楷體" w:hAnsi="標楷體"/>
          <w:color w:val="000000"/>
        </w:rPr>
        <w:t>等</w:t>
      </w:r>
      <w:r w:rsidRPr="00B259BF">
        <w:rPr>
          <w:rFonts w:ascii="標楷體" w:eastAsia="標楷體" w:hAnsi="標楷體" w:hint="eastAsia"/>
          <w:color w:val="000000"/>
        </w:rPr>
        <w:t>，</w:t>
      </w:r>
      <w:r w:rsidRPr="00B259BF">
        <w:rPr>
          <w:rFonts w:ascii="標楷體" w:eastAsia="標楷體" w:hAnsi="標楷體"/>
          <w:color w:val="000000"/>
        </w:rPr>
        <w:t>均為本契約之一部分，本</w:t>
      </w:r>
      <w:r w:rsidRPr="00B259BF">
        <w:rPr>
          <w:rFonts w:ascii="標楷體" w:eastAsia="標楷體" w:hAnsi="標楷體" w:hint="eastAsia"/>
          <w:color w:val="000000"/>
        </w:rPr>
        <w:t>契</w:t>
      </w:r>
      <w:r w:rsidRPr="00B259BF">
        <w:rPr>
          <w:rFonts w:ascii="標楷體" w:eastAsia="標楷體" w:hAnsi="標楷體"/>
          <w:color w:val="000000"/>
        </w:rPr>
        <w:t>約簽定後上開法令章則或相關公告函釋有修正者，亦同。</w:t>
      </w:r>
    </w:p>
    <w:p w:rsidR="00B259BF" w:rsidRPr="00B259BF" w:rsidRDefault="00B259BF" w:rsidP="00B259BF">
      <w:pPr>
        <w:pStyle w:val="HTML"/>
        <w:numPr>
          <w:ilvl w:val="0"/>
          <w:numId w:val="38"/>
        </w:numPr>
        <w:snapToGrid w:val="0"/>
        <w:spacing w:line="540" w:lineRule="atLeast"/>
        <w:ind w:left="0" w:firstLine="0"/>
        <w:jc w:val="both"/>
        <w:rPr>
          <w:rFonts w:ascii="標楷體" w:eastAsia="標楷體" w:hAnsi="標楷體"/>
          <w:color w:val="000000"/>
        </w:rPr>
      </w:pPr>
      <w:r w:rsidRPr="00B259BF">
        <w:rPr>
          <w:rFonts w:ascii="標楷體" w:eastAsia="標楷體" w:hAnsi="標楷體" w:hint="eastAsia"/>
          <w:color w:val="000000"/>
        </w:rPr>
        <w:t>(開戶名稱)</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lastRenderedPageBreak/>
        <w:t xml:space="preserve">  </w:t>
      </w:r>
      <w:r w:rsidRPr="00B259BF">
        <w:rPr>
          <w:rFonts w:ascii="標楷體" w:eastAsia="標楷體" w:hAnsi="標楷體" w:hint="eastAsia"/>
          <w:color w:val="000000"/>
        </w:rPr>
        <w:t xml:space="preserve">　立約人依本契約開立之帳戶(以下稱為投資買賣專戶) 專供丙方代理甲方全權委託投資之用，應以甲方之名義為之，載明甲方及丙方名稱，並編定戶名及識別碼。</w:t>
      </w:r>
    </w:p>
    <w:p w:rsidR="00B259BF" w:rsidRPr="00B259BF" w:rsidRDefault="00B259BF" w:rsidP="00B259BF">
      <w:pPr>
        <w:pStyle w:val="HTML"/>
        <w:snapToGrid w:val="0"/>
        <w:spacing w:line="480" w:lineRule="atLeast"/>
        <w:jc w:val="both"/>
        <w:rPr>
          <w:rFonts w:ascii="標楷體" w:eastAsia="標楷體" w:hAnsi="標楷體"/>
          <w:color w:val="000000"/>
        </w:rPr>
      </w:pPr>
      <w:r w:rsidRPr="00B259BF">
        <w:rPr>
          <w:rFonts w:ascii="標楷體" w:eastAsia="標楷體" w:hAnsi="標楷體"/>
          <w:color w:val="000000"/>
        </w:rPr>
        <w:t xml:space="preserve">     </w:t>
      </w:r>
    </w:p>
    <w:p w:rsidR="00B259BF" w:rsidRPr="00B259BF" w:rsidRDefault="00B259BF" w:rsidP="00B259BF">
      <w:pPr>
        <w:pStyle w:val="HTML"/>
        <w:numPr>
          <w:ilvl w:val="0"/>
          <w:numId w:val="39"/>
        </w:numPr>
        <w:snapToGrid w:val="0"/>
        <w:spacing w:line="540" w:lineRule="atLeast"/>
        <w:ind w:left="0" w:firstLine="0"/>
        <w:jc w:val="both"/>
        <w:rPr>
          <w:rFonts w:ascii="標楷體" w:eastAsia="標楷體" w:hAnsi="標楷體"/>
          <w:color w:val="000000"/>
        </w:rPr>
      </w:pPr>
      <w:r w:rsidRPr="00B259BF">
        <w:rPr>
          <w:rFonts w:ascii="標楷體" w:eastAsia="標楷體" w:hAnsi="標楷體" w:hint="eastAsia"/>
          <w:color w:val="000000"/>
        </w:rPr>
        <w:t>(委託買賣)</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 xml:space="preserve">　</w:t>
      </w:r>
      <w:r w:rsidRPr="00B259BF">
        <w:rPr>
          <w:rFonts w:ascii="標楷體" w:eastAsia="標楷體" w:hAnsi="標楷體"/>
          <w:color w:val="000000"/>
        </w:rPr>
        <w:t>甲方授權丙方全權代理甲方</w:t>
      </w:r>
      <w:r w:rsidRPr="00B259BF">
        <w:rPr>
          <w:rFonts w:ascii="標楷體" w:eastAsia="標楷體" w:hAnsi="標楷體" w:hint="eastAsia"/>
          <w:color w:val="000000"/>
        </w:rPr>
        <w:t>從事</w:t>
      </w:r>
      <w:r w:rsidRPr="00B259BF">
        <w:rPr>
          <w:rFonts w:ascii="標楷體" w:eastAsia="標楷體" w:hAnsi="標楷體"/>
          <w:color w:val="000000"/>
        </w:rPr>
        <w:t>期貨</w:t>
      </w:r>
      <w:r w:rsidRPr="00B259BF">
        <w:rPr>
          <w:rFonts w:ascii="標楷體" w:eastAsia="標楷體" w:hAnsi="標楷體" w:hint="eastAsia"/>
          <w:color w:val="000000"/>
        </w:rPr>
        <w:t>交易</w:t>
      </w:r>
      <w:r w:rsidRPr="00B259BF">
        <w:rPr>
          <w:rFonts w:ascii="標楷體" w:eastAsia="標楷體" w:hAnsi="標楷體"/>
          <w:color w:val="000000"/>
        </w:rPr>
        <w:t>，甲方就</w:t>
      </w:r>
      <w:r w:rsidRPr="00B259BF">
        <w:rPr>
          <w:rFonts w:ascii="標楷體" w:eastAsia="標楷體" w:hAnsi="標楷體" w:hint="eastAsia"/>
          <w:color w:val="000000"/>
        </w:rPr>
        <w:t>本投資買賣專戶</w:t>
      </w:r>
      <w:r w:rsidRPr="00B259BF">
        <w:rPr>
          <w:rFonts w:ascii="標楷體" w:eastAsia="標楷體" w:hAnsi="標楷體"/>
          <w:color w:val="000000"/>
        </w:rPr>
        <w:t>不得自行委託</w:t>
      </w:r>
      <w:r w:rsidRPr="00B259BF">
        <w:rPr>
          <w:rFonts w:ascii="標楷體" w:eastAsia="標楷體" w:hAnsi="標楷體" w:hint="eastAsia"/>
          <w:color w:val="000000"/>
        </w:rPr>
        <w:t>買賣</w:t>
      </w:r>
      <w:r w:rsidRPr="00B259BF">
        <w:rPr>
          <w:rFonts w:ascii="標楷體" w:eastAsia="標楷體" w:hAnsi="標楷體"/>
          <w:color w:val="000000"/>
        </w:rPr>
        <w:t>或另行授權第三人委託</w:t>
      </w:r>
      <w:r w:rsidRPr="00B259BF">
        <w:rPr>
          <w:rFonts w:ascii="標楷體" w:eastAsia="標楷體" w:hAnsi="標楷體" w:hint="eastAsia"/>
          <w:color w:val="000000"/>
        </w:rPr>
        <w:t>買賣</w:t>
      </w:r>
      <w:r w:rsidRPr="00B259BF">
        <w:rPr>
          <w:rFonts w:ascii="標楷體" w:eastAsia="標楷體" w:hAnsi="標楷體"/>
          <w:color w:val="000000"/>
        </w:rPr>
        <w:t>。</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丙方就前項全權代理權得指定其負責人、經理人或受僱人代為行使之。</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丙方代理甲方委託交易應以面告、電話、電報、傳真、電傳視訊或其他經主管機關核准之傳輸工具等具體明確之口頭或書面方式對乙方下達委託，委託內容應包括完成該次交易所需之交易條件</w:t>
      </w:r>
      <w:r w:rsidRPr="00B259BF">
        <w:rPr>
          <w:rFonts w:ascii="標楷體" w:eastAsia="標楷體" w:hAnsi="標楷體" w:hint="eastAsia"/>
          <w:color w:val="000000"/>
        </w:rPr>
        <w:t>。</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丙方同時代理其他全權委託</w:t>
      </w:r>
      <w:r w:rsidRPr="00B259BF">
        <w:rPr>
          <w:rFonts w:ascii="標楷體" w:eastAsia="標楷體" w:hAnsi="標楷體" w:hint="eastAsia"/>
          <w:color w:val="000000"/>
        </w:rPr>
        <w:t>投資</w:t>
      </w:r>
      <w:r w:rsidRPr="00B259BF">
        <w:rPr>
          <w:rFonts w:ascii="標楷體" w:eastAsia="標楷體" w:hAnsi="標楷體"/>
          <w:color w:val="000000"/>
        </w:rPr>
        <w:t>客戶</w:t>
      </w:r>
      <w:r w:rsidRPr="00B259BF">
        <w:rPr>
          <w:rFonts w:ascii="標楷體" w:eastAsia="標楷體" w:hAnsi="標楷體" w:hint="eastAsia"/>
          <w:color w:val="000000"/>
        </w:rPr>
        <w:t>從事</w:t>
      </w:r>
      <w:r w:rsidRPr="00B259BF">
        <w:rPr>
          <w:rFonts w:ascii="標楷體" w:eastAsia="標楷體" w:hAnsi="標楷體"/>
          <w:color w:val="000000"/>
        </w:rPr>
        <w:t>期貨</w:t>
      </w:r>
      <w:r w:rsidRPr="00B259BF">
        <w:rPr>
          <w:rFonts w:ascii="標楷體" w:eastAsia="標楷體" w:hAnsi="標楷體" w:hint="eastAsia"/>
          <w:color w:val="000000"/>
        </w:rPr>
        <w:t>交易</w:t>
      </w:r>
      <w:r w:rsidRPr="00B259BF">
        <w:rPr>
          <w:rFonts w:ascii="標楷體" w:eastAsia="標楷體" w:hAnsi="標楷體"/>
          <w:color w:val="000000"/>
        </w:rPr>
        <w:t>者，丙方之</w:t>
      </w:r>
      <w:r w:rsidRPr="00B259BF">
        <w:rPr>
          <w:rFonts w:ascii="標楷體" w:eastAsia="標楷體" w:hAnsi="標楷體" w:hint="eastAsia"/>
          <w:color w:val="000000"/>
        </w:rPr>
        <w:t>買賣指</w:t>
      </w:r>
      <w:r w:rsidRPr="00B259BF">
        <w:rPr>
          <w:rFonts w:ascii="標楷體" w:eastAsia="標楷體" w:hAnsi="標楷體"/>
          <w:color w:val="000000"/>
        </w:rPr>
        <w:t>示，應按各別</w:t>
      </w:r>
      <w:r w:rsidRPr="00B259BF">
        <w:rPr>
          <w:rFonts w:ascii="標楷體" w:eastAsia="標楷體" w:hAnsi="標楷體" w:hint="eastAsia"/>
          <w:color w:val="000000"/>
        </w:rPr>
        <w:t>投資買賣專</w:t>
      </w:r>
      <w:r w:rsidRPr="00B259BF">
        <w:rPr>
          <w:rFonts w:ascii="標楷體" w:eastAsia="標楷體" w:hAnsi="標楷體"/>
          <w:color w:val="000000"/>
        </w:rPr>
        <w:t>戶之代號分別為之，不得將不同帳戶</w:t>
      </w:r>
      <w:r w:rsidRPr="00B259BF">
        <w:rPr>
          <w:rFonts w:ascii="標楷體" w:eastAsia="標楷體" w:hAnsi="標楷體" w:hint="eastAsia"/>
          <w:color w:val="000000"/>
        </w:rPr>
        <w:t>專戶</w:t>
      </w:r>
      <w:r w:rsidRPr="00B259BF">
        <w:rPr>
          <w:rFonts w:ascii="標楷體" w:eastAsia="標楷體" w:hAnsi="標楷體"/>
          <w:color w:val="000000"/>
        </w:rPr>
        <w:t>之</w:t>
      </w:r>
      <w:r w:rsidRPr="00B259BF">
        <w:rPr>
          <w:rFonts w:ascii="標楷體" w:eastAsia="標楷體" w:hAnsi="標楷體" w:hint="eastAsia"/>
          <w:color w:val="000000"/>
        </w:rPr>
        <w:t>買賣</w:t>
      </w:r>
      <w:r w:rsidRPr="00B259BF">
        <w:rPr>
          <w:rFonts w:ascii="標楷體" w:eastAsia="標楷體" w:hAnsi="標楷體"/>
          <w:color w:val="000000"/>
        </w:rPr>
        <w:t>合併於同一指示單處理。</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丙方得通知乙方撤銷或變更委託事項，但以原委託之交易尚未成交者為限。</w:t>
      </w:r>
    </w:p>
    <w:p w:rsidR="0066751C" w:rsidRPr="005F38DD" w:rsidRDefault="00B259BF" w:rsidP="0066751C">
      <w:pPr>
        <w:spacing w:line="460" w:lineRule="atLeast"/>
        <w:jc w:val="both"/>
        <w:rPr>
          <w:rFonts w:ascii="標楷體" w:eastAsia="標楷體" w:hAnsi="標楷體"/>
        </w:rPr>
      </w:pPr>
      <w:r w:rsidRPr="00B259BF">
        <w:rPr>
          <w:rFonts w:ascii="標楷體" w:eastAsia="標楷體" w:hAnsi="標楷體"/>
          <w:color w:val="000000"/>
        </w:rPr>
        <w:t xml:space="preserve">    </w:t>
      </w:r>
      <w:r w:rsidR="0066751C" w:rsidRPr="0066751C">
        <w:rPr>
          <w:rFonts w:ascii="標楷體" w:eastAsia="標楷體" w:hAnsi="標楷體"/>
        </w:rPr>
        <w:t>丙方之代理委託</w:t>
      </w:r>
      <w:r w:rsidR="0066751C" w:rsidRPr="0066751C">
        <w:rPr>
          <w:rFonts w:ascii="標楷體" w:eastAsia="標楷體" w:hAnsi="標楷體" w:hint="eastAsia"/>
        </w:rPr>
        <w:t>買賣</w:t>
      </w:r>
      <w:r w:rsidR="0066751C" w:rsidRPr="0066751C">
        <w:rPr>
          <w:rFonts w:ascii="標楷體" w:eastAsia="標楷體" w:hAnsi="標楷體"/>
        </w:rPr>
        <w:t>，因可歸責於乙方或其相關人員而致生錯誤者，或乙方之受託買賣違反第一項規定者，</w:t>
      </w:r>
      <w:r w:rsidR="0066751C" w:rsidRPr="005F38DD">
        <w:rPr>
          <w:rFonts w:ascii="標楷體" w:eastAsia="標楷體" w:hAnsi="標楷體" w:hint="eastAsia"/>
        </w:rPr>
        <w:t>或因</w:t>
      </w:r>
      <w:r w:rsidR="0066751C" w:rsidRPr="005F38DD">
        <w:rPr>
          <w:rFonts w:ascii="標楷體" w:eastAsia="標楷體" w:hAnsi="標楷體"/>
        </w:rPr>
        <w:t>丙方</w:t>
      </w:r>
      <w:r w:rsidR="0066751C" w:rsidRPr="005F38DD">
        <w:rPr>
          <w:rFonts w:ascii="標楷體" w:eastAsia="標楷體" w:hAnsi="標楷體" w:hint="eastAsia"/>
        </w:rPr>
        <w:t>之錯誤申請更正帳號者</w:t>
      </w:r>
      <w:r w:rsidR="00E2440C" w:rsidRPr="00E2440C">
        <w:rPr>
          <w:rFonts w:ascii="標楷體" w:eastAsia="標楷體" w:hAnsi="標楷體" w:hint="eastAsia"/>
        </w:rPr>
        <w:t>(更正前及更正轉入之帳號需均為甲方之帳號，且以乙方同一營業據點為限)，</w:t>
      </w:r>
      <w:r w:rsidR="0066751C" w:rsidRPr="005F38DD">
        <w:rPr>
          <w:rFonts w:ascii="標楷體" w:eastAsia="標楷體" w:hAnsi="標楷體"/>
        </w:rPr>
        <w:t>由乙方依</w:t>
      </w:r>
      <w:r w:rsidR="0066751C" w:rsidRPr="005F38DD">
        <w:rPr>
          <w:rFonts w:ascii="標楷體" w:eastAsia="標楷體" w:hAnsi="標楷體" w:hint="eastAsia"/>
        </w:rPr>
        <w:t>「期貨商錯帳及更正帳號申報處理作業要點」</w:t>
      </w:r>
      <w:r w:rsidR="0066751C" w:rsidRPr="005F38DD">
        <w:rPr>
          <w:rFonts w:ascii="標楷體" w:eastAsia="標楷體" w:hAnsi="標楷體"/>
        </w:rPr>
        <w:t>及其相關規定辦理。</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乙方對丙方之下單內容是否符合全權委託</w:t>
      </w:r>
      <w:r w:rsidRPr="00B259BF">
        <w:rPr>
          <w:rFonts w:ascii="標楷體" w:eastAsia="標楷體" w:hAnsi="標楷體" w:hint="eastAsia"/>
          <w:color w:val="000000"/>
        </w:rPr>
        <w:t>投資</w:t>
      </w:r>
      <w:r w:rsidRPr="00B259BF">
        <w:rPr>
          <w:rFonts w:ascii="標楷體" w:eastAsia="標楷體" w:hAnsi="標楷體"/>
          <w:color w:val="000000"/>
        </w:rPr>
        <w:t xml:space="preserve">授權範圍，得隨時要求保管機構確認，保管機構不得拒絕，且丙方不得以之作為免責之抗辯。     </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第四條 (保證金繳納)</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丙方代理甲方從事期貨交易前，應依期貨主管機關、期貨交易所或乙方之規定，通知保管機</w:t>
      </w:r>
      <w:r w:rsidRPr="00B259BF">
        <w:rPr>
          <w:rFonts w:ascii="標楷體" w:eastAsia="標楷體" w:hAnsi="標楷體"/>
          <w:color w:val="000000"/>
        </w:rPr>
        <w:t>構</w:t>
      </w:r>
      <w:r w:rsidRPr="00B259BF">
        <w:rPr>
          <w:rFonts w:ascii="標楷體" w:eastAsia="標楷體" w:hAnsi="標楷體" w:hint="eastAsia"/>
          <w:color w:val="000000"/>
        </w:rPr>
        <w:t>將交易保證金存入乙方指定之客戶保證金專戶。</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第五條   (</w:t>
      </w:r>
      <w:r w:rsidRPr="00B259BF">
        <w:rPr>
          <w:rFonts w:ascii="標楷體" w:eastAsia="標楷體" w:hAnsi="標楷體" w:hint="eastAsia"/>
          <w:color w:val="000000"/>
        </w:rPr>
        <w:t>乙方之義務及應行通知事項</w:t>
      </w:r>
      <w:r w:rsidRPr="00B259BF">
        <w:rPr>
          <w:rFonts w:ascii="標楷體" w:eastAsia="標楷體" w:hAnsi="標楷體"/>
          <w:color w:val="000000"/>
        </w:rPr>
        <w:t>)</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乙方接受丙方之代理委託買賣後，應根據中華民國法令之規定，將委託交易內容轉達至該期貨交易所進行期貨交易及辦理後續結算交割事宜。</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 xml:space="preserve">    乙方依前項方式執行期貨交易之委託時應盡善良管理人之注意義務。</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lastRenderedPageBreak/>
        <w:t>乙方應於每日完成期貨交易後，向丙方回報成交資料，並製作買賣報告書交付丙方。乙方並應於每月五日前將甲方上月份之交易對帳單送達丙方及保管機構。</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 xml:space="preserve">    乙方遇期貨交易所有緊急情事而暫停交易時，乙方除應於公告欄內公告，並應立即通知丙方及保管機構。</w:t>
      </w:r>
    </w:p>
    <w:p w:rsidR="00B259BF" w:rsidRPr="00B259BF" w:rsidRDefault="00B259BF" w:rsidP="00B259BF">
      <w:pPr>
        <w:pStyle w:val="HTML"/>
        <w:snapToGrid w:val="0"/>
        <w:spacing w:line="300" w:lineRule="atLeast"/>
        <w:jc w:val="both"/>
        <w:rPr>
          <w:rFonts w:ascii="標楷體" w:eastAsia="標楷體" w:hAnsi="標楷體"/>
          <w:color w:val="000000"/>
        </w:rPr>
      </w:pPr>
      <w:r w:rsidRPr="00B259BF">
        <w:rPr>
          <w:rFonts w:ascii="標楷體" w:eastAsia="標楷體" w:hAnsi="標楷體"/>
          <w:color w:val="000000"/>
        </w:rPr>
        <w:t xml:space="preserve">       </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ascii="標楷體" w:eastAsia="標楷體" w:hAnsi="標楷體" w:hint="eastAsia"/>
          <w:color w:val="000000"/>
        </w:rPr>
        <w:t>六</w:t>
      </w:r>
      <w:r w:rsidRPr="00B259BF">
        <w:rPr>
          <w:rFonts w:ascii="標楷體" w:eastAsia="標楷體" w:hAnsi="標楷體"/>
          <w:color w:val="000000"/>
        </w:rPr>
        <w:t xml:space="preserve">條   (保證金、權利金或其他款項收付) </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甲方指定保管機構為保證金與權利金收付及結算交割代理人，由保管機構全權代理甲方負責處理</w:t>
      </w:r>
      <w:r w:rsidRPr="00B259BF">
        <w:rPr>
          <w:rFonts w:ascii="標楷體" w:eastAsia="標楷體" w:hAnsi="標楷體" w:hint="eastAsia"/>
          <w:color w:val="000000"/>
        </w:rPr>
        <w:t>投資買賣</w:t>
      </w:r>
      <w:r w:rsidRPr="00B259BF">
        <w:rPr>
          <w:rFonts w:ascii="標楷體" w:eastAsia="標楷體" w:hAnsi="標楷體"/>
          <w:color w:val="000000"/>
        </w:rPr>
        <w:t>帳戶一切保證金與權利金收付及結算交割事宜。丙方應通知保管機構辦理保證金與權利金收付及結算交割。</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乙方代理甲方從事之期貨交易需辦理實物繳交保證金或交割時，其相關事宜依臺灣期貨交易所規定辦理。</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乙方確認甲方繳存交易所需款項後</w:t>
      </w:r>
      <w:r w:rsidRPr="00B259BF">
        <w:rPr>
          <w:rFonts w:ascii="標楷體" w:eastAsia="標楷體" w:hAnsi="標楷體" w:hint="eastAsia"/>
          <w:color w:val="000000"/>
        </w:rPr>
        <w:t>，</w:t>
      </w:r>
      <w:r w:rsidRPr="00B259BF">
        <w:rPr>
          <w:rFonts w:ascii="標楷體" w:eastAsia="標楷體" w:hAnsi="標楷體"/>
          <w:color w:val="000000"/>
        </w:rPr>
        <w:t>始</w:t>
      </w:r>
      <w:r w:rsidRPr="00B259BF">
        <w:rPr>
          <w:rFonts w:ascii="標楷體" w:eastAsia="標楷體" w:hAnsi="標楷體" w:hint="eastAsia"/>
          <w:color w:val="000000"/>
        </w:rPr>
        <w:t>得</w:t>
      </w:r>
      <w:r w:rsidRPr="00B259BF">
        <w:rPr>
          <w:rFonts w:ascii="標楷體" w:eastAsia="標楷體" w:hAnsi="標楷體"/>
          <w:color w:val="000000"/>
        </w:rPr>
        <w:t>接受丙方代理委託交易。</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甲方存放於乙方保證金專戶之超額保證金，甲方之保管機構得申請辦理提領，並由乙方逕行撥入保管機構之甲方投資保管專戶，甲方如需變更帳戶，應由保管機構代理甲方會同丙方與乙方以書面為之，於完成書面變更前，乙方對原投資保管專戶之付款仍生清償效力。</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丙方</w:t>
      </w:r>
      <w:r w:rsidRPr="00B259BF">
        <w:rPr>
          <w:rFonts w:ascii="標楷體" w:eastAsia="標楷體" w:hAnsi="標楷體" w:hint="eastAsia"/>
          <w:color w:val="000000"/>
        </w:rPr>
        <w:t>從事</w:t>
      </w:r>
      <w:r w:rsidRPr="00B259BF">
        <w:rPr>
          <w:rFonts w:ascii="標楷體" w:eastAsia="標楷體" w:hAnsi="標楷體"/>
          <w:color w:val="000000"/>
        </w:rPr>
        <w:t>期貨</w:t>
      </w:r>
      <w:r w:rsidRPr="00B259BF">
        <w:rPr>
          <w:rFonts w:ascii="標楷體" w:eastAsia="標楷體" w:hAnsi="標楷體" w:hint="eastAsia"/>
          <w:color w:val="000000"/>
        </w:rPr>
        <w:t>交易</w:t>
      </w:r>
      <w:r w:rsidRPr="00B259BF">
        <w:rPr>
          <w:rFonts w:ascii="標楷體" w:eastAsia="標楷體" w:hAnsi="標楷體"/>
          <w:color w:val="000000"/>
        </w:rPr>
        <w:t>如有越權交易之情事，除經甲方出具同意交易之書面，並經保管機構審核符合相關法令外，丙方應依管理</w:t>
      </w:r>
      <w:r w:rsidRPr="00B259BF">
        <w:rPr>
          <w:rFonts w:ascii="標楷體" w:eastAsia="標楷體" w:hAnsi="標楷體" w:hint="eastAsia"/>
          <w:color w:val="000000"/>
        </w:rPr>
        <w:t>辦法</w:t>
      </w:r>
      <w:r w:rsidRPr="00B259BF">
        <w:rPr>
          <w:rFonts w:ascii="標楷體" w:eastAsia="標楷體" w:hAnsi="標楷體"/>
          <w:color w:val="000000"/>
        </w:rPr>
        <w:t>、</w:t>
      </w:r>
      <w:r w:rsidRPr="00B259BF">
        <w:rPr>
          <w:rFonts w:ascii="標楷體" w:eastAsia="標楷體" w:hAnsi="標楷體" w:hint="eastAsia"/>
          <w:color w:val="000000"/>
        </w:rPr>
        <w:t>全權委託投資</w:t>
      </w:r>
      <w:r w:rsidRPr="00B259BF">
        <w:rPr>
          <w:rFonts w:ascii="標楷體" w:eastAsia="標楷體" w:hAnsi="標楷體"/>
          <w:color w:val="000000"/>
        </w:rPr>
        <w:t>業務操作辦法及相關法令規定負越權交易之履行責任。</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丙方承諾除前項除外規定者外，對越權交易之結算交割及違約責任悉由丙方負責，與甲方無涉。</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ascii="標楷體" w:eastAsia="標楷體" w:hAnsi="標楷體" w:hint="eastAsia"/>
          <w:color w:val="000000"/>
        </w:rPr>
        <w:t>七</w:t>
      </w:r>
      <w:r w:rsidRPr="00B259BF">
        <w:rPr>
          <w:rFonts w:ascii="標楷體" w:eastAsia="標楷體" w:hAnsi="標楷體"/>
          <w:color w:val="000000"/>
        </w:rPr>
        <w:t>條   (保證金專戶存款之利息歸屬)</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甲方存放在乙方指定金融機構之保證金專戶內款項所生之利息歸屬於乙方。但雙方另有約定者，從其約定。</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lastRenderedPageBreak/>
        <w:t>第</w:t>
      </w:r>
      <w:r w:rsidRPr="00B259BF">
        <w:rPr>
          <w:rFonts w:ascii="標楷體" w:eastAsia="標楷體" w:hAnsi="標楷體" w:hint="eastAsia"/>
          <w:color w:val="000000"/>
        </w:rPr>
        <w:t>八</w:t>
      </w:r>
      <w:r w:rsidRPr="00B259BF">
        <w:rPr>
          <w:rFonts w:ascii="標楷體" w:eastAsia="標楷體" w:hAnsi="標楷體"/>
          <w:color w:val="000000"/>
        </w:rPr>
        <w:t>條   (交易佣金及其他相關費用)</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甲方應支付乙方期貨交易所需之佣金、手續費、取消改單費、結算款項及費用、各類依法徵收之稅捐、規費等必要費用。</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乙方應向甲方收取之前述費用及款項，得自乙方持有甲方保證金中逕行扣抵。應退還之手續費，歸甲方所有，並由乙方逕行撥入甲方於保管機構所設之</w:t>
      </w:r>
      <w:r w:rsidRPr="00B259BF">
        <w:rPr>
          <w:rFonts w:ascii="標楷體" w:eastAsia="標楷體" w:hAnsi="標楷體" w:hint="eastAsia"/>
          <w:color w:val="000000"/>
        </w:rPr>
        <w:t>投資</w:t>
      </w:r>
      <w:r w:rsidRPr="00B259BF">
        <w:rPr>
          <w:rFonts w:ascii="標楷體" w:eastAsia="標楷體" w:hAnsi="標楷體"/>
          <w:color w:val="000000"/>
        </w:rPr>
        <w:t>保管專戶。</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乙方受託交易應收之手續費、應行結算及退還費用之計算方式，由甲方會同丙方與乙方另行議定之。</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ascii="標楷體" w:eastAsia="標楷體" w:hAnsi="標楷體" w:hint="eastAsia"/>
          <w:color w:val="000000"/>
        </w:rPr>
        <w:t>九</w:t>
      </w:r>
      <w:r w:rsidRPr="00B259BF">
        <w:rPr>
          <w:rFonts w:ascii="標楷體" w:eastAsia="標楷體" w:hAnsi="標楷體"/>
          <w:color w:val="000000"/>
        </w:rPr>
        <w:t>條   (保證金之維持)</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丙方應代理甲方自行計算維持保證金之額度與比例，並負有隨時維持足額保證金之義務，無待乙方之通知。</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第十條    (通知繳交追加保證金之方式及時間)</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w:t>
      </w:r>
      <w:r w:rsidR="00DC33A7" w:rsidRPr="00DC33A7">
        <w:rPr>
          <w:rFonts w:ascii="標楷體" w:eastAsia="標楷體" w:hAnsi="標楷體" w:hint="eastAsia"/>
          <w:color w:val="000000"/>
        </w:rPr>
        <w:t>交易時間甲方帳戶權益數低於未沖銷部位所需維持保證金時，乙方應發出高風險帳戶通知，但盤後交易時段，甲方帳戶中未沖銷部位僅有臺灣期貨交易所指定豁免執行代為沖銷之商品者，不在此限，丙方受通知後應立即指示保管機構儘速將權益數補足至未沖銷部位所需原始保證金；一般交易時段收盤後，甲方帳戶權益數低於未沖銷部位所需維持保證金時，乙方應發出盤後保證金追繳通知，丙方最遲應於次一營業日約定時間前，依乙方通知內容指示保管機構將盤後保證金追繳金額補足。</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eastAsia="標楷體" w:hAnsi="標楷體"/>
          <w:color w:val="000000"/>
        </w:rPr>
        <w:t>十</w:t>
      </w:r>
      <w:r w:rsidRPr="00B259BF">
        <w:rPr>
          <w:rFonts w:eastAsia="標楷體" w:hAnsi="標楷體" w:hint="eastAsia"/>
          <w:color w:val="000000"/>
        </w:rPr>
        <w:t>一</w:t>
      </w:r>
      <w:r w:rsidRPr="00B259BF">
        <w:rPr>
          <w:rFonts w:ascii="標楷體" w:eastAsia="標楷體" w:hAnsi="標楷體"/>
          <w:color w:val="000000"/>
        </w:rPr>
        <w:t>條   (乙方</w:t>
      </w:r>
      <w:r w:rsidRPr="00B259BF">
        <w:rPr>
          <w:rFonts w:ascii="標楷體" w:eastAsia="標楷體" w:hAnsi="標楷體" w:hint="eastAsia"/>
          <w:color w:val="000000"/>
        </w:rPr>
        <w:t>代為沖銷</w:t>
      </w:r>
      <w:r w:rsidRPr="00B259BF">
        <w:rPr>
          <w:rFonts w:ascii="標楷體" w:eastAsia="標楷體" w:hAnsi="標楷體"/>
          <w:color w:val="000000"/>
        </w:rPr>
        <w:t>之條件與相關事項)</w:t>
      </w:r>
    </w:p>
    <w:p w:rsidR="00B259BF" w:rsidRPr="00B259BF" w:rsidRDefault="00B259BF" w:rsidP="00B259BF">
      <w:pPr>
        <w:pStyle w:val="HTML"/>
        <w:snapToGrid w:val="0"/>
        <w:spacing w:line="540" w:lineRule="exact"/>
        <w:ind w:firstLineChars="200" w:firstLine="480"/>
        <w:jc w:val="both"/>
        <w:rPr>
          <w:rFonts w:ascii="標楷體" w:eastAsia="標楷體" w:hAnsi="標楷體"/>
          <w:color w:val="000000"/>
        </w:rPr>
      </w:pPr>
      <w:r w:rsidRPr="00B259BF">
        <w:rPr>
          <w:rFonts w:ascii="標楷體" w:eastAsia="標楷體" w:hAnsi="標楷體"/>
          <w:color w:val="000000"/>
        </w:rPr>
        <w:t>遇有下列各款情事之一者，乙方</w:t>
      </w:r>
      <w:r w:rsidRPr="00B259BF">
        <w:rPr>
          <w:rFonts w:ascii="標楷體" w:eastAsia="標楷體" w:hAnsi="標楷體" w:hint="eastAsia"/>
          <w:color w:val="000000"/>
        </w:rPr>
        <w:t>應開始執行代為沖銷作業程序</w:t>
      </w:r>
      <w:r w:rsidRPr="00B259BF">
        <w:rPr>
          <w:rFonts w:ascii="標楷體" w:eastAsia="標楷體" w:hAnsi="標楷體"/>
          <w:color w:val="000000"/>
        </w:rPr>
        <w:t>：</w:t>
      </w:r>
    </w:p>
    <w:p w:rsidR="00F80C5E" w:rsidRPr="003B4D2F" w:rsidRDefault="00F80C5E" w:rsidP="00F80C5E">
      <w:pPr>
        <w:pStyle w:val="HTML"/>
        <w:snapToGrid w:val="0"/>
        <w:spacing w:line="540" w:lineRule="exact"/>
        <w:ind w:left="480" w:hangingChars="200" w:hanging="480"/>
        <w:jc w:val="both"/>
        <w:rPr>
          <w:rFonts w:eastAsia="標楷體" w:hAnsi="標楷體"/>
          <w:color w:val="000000"/>
        </w:rPr>
      </w:pPr>
      <w:r w:rsidRPr="00B259BF">
        <w:rPr>
          <w:rFonts w:eastAsia="標楷體" w:hAnsi="標楷體"/>
          <w:color w:val="000000"/>
        </w:rPr>
        <w:t>一、</w:t>
      </w:r>
      <w:r w:rsidR="00DC33A7" w:rsidRPr="00DC33A7">
        <w:rPr>
          <w:rFonts w:eastAsia="標楷體" w:hAnsi="標楷體" w:hint="eastAsia"/>
          <w:color w:val="000000"/>
        </w:rPr>
        <w:t>甲方帳戶風險指標低於約定之比率時，乙方應將甲方帳戶之未沖銷部位全部沖銷，惟甲方帳戶未沖銷部位中有</w:t>
      </w:r>
      <w:r w:rsidR="00793A2B" w:rsidRPr="00793A2B">
        <w:rPr>
          <w:rFonts w:eastAsia="標楷體" w:hAnsi="標楷體" w:hint="eastAsia"/>
          <w:color w:val="000000"/>
        </w:rPr>
        <w:t>已進入</w:t>
      </w:r>
      <w:r w:rsidR="00DC33A7" w:rsidRPr="00DC33A7">
        <w:rPr>
          <w:rFonts w:eastAsia="標楷體" w:hAnsi="標楷體" w:hint="eastAsia"/>
          <w:color w:val="000000"/>
        </w:rPr>
        <w:t>盤後交易時段商品，且該商品為臺灣期貨交易所指定豁免執行代為沖銷之商品時，若甲方帳戶權益數未低於未沖銷部位所需維持保證金，則乙方將不執行代為沖銷</w:t>
      </w:r>
      <w:r w:rsidR="003B4D2F" w:rsidRPr="003B4D2F">
        <w:rPr>
          <w:rFonts w:eastAsia="標楷體" w:hAnsi="標楷體" w:hint="eastAsia"/>
          <w:color w:val="000000"/>
        </w:rPr>
        <w:t>，若甲方帳戶權益數低於未沖銷部位所需維持保證金，則乙方應將該豁免執行代為沖銷商品以外之部位全部沖銷</w:t>
      </w:r>
      <w:r w:rsidR="00DC33A7" w:rsidRPr="00DC33A7">
        <w:rPr>
          <w:rFonts w:eastAsia="標楷體" w:hAnsi="標楷體" w:hint="eastAsia"/>
          <w:color w:val="000000"/>
        </w:rPr>
        <w:t>。</w:t>
      </w:r>
    </w:p>
    <w:p w:rsidR="00B259BF" w:rsidRPr="00B259BF" w:rsidRDefault="00F80C5E" w:rsidP="00F80C5E">
      <w:pPr>
        <w:pStyle w:val="HTML"/>
        <w:snapToGrid w:val="0"/>
        <w:spacing w:line="540" w:lineRule="exact"/>
        <w:ind w:left="480" w:hangingChars="200" w:hanging="480"/>
        <w:jc w:val="both"/>
        <w:rPr>
          <w:rFonts w:ascii="標楷體" w:eastAsia="標楷體" w:hAnsi="標楷體"/>
          <w:color w:val="000000"/>
        </w:rPr>
      </w:pPr>
      <w:r w:rsidRPr="00B259BF">
        <w:rPr>
          <w:rFonts w:ascii="標楷體" w:eastAsia="標楷體" w:hAnsi="標楷體"/>
          <w:color w:val="000000"/>
        </w:rPr>
        <w:lastRenderedPageBreak/>
        <w:t>二、</w:t>
      </w:r>
      <w:r w:rsidRPr="00B259BF">
        <w:rPr>
          <w:rFonts w:ascii="標楷體" w:eastAsia="標楷體" w:hAnsi="標楷體" w:hint="eastAsia"/>
          <w:color w:val="000000"/>
        </w:rPr>
        <w:t>甲</w:t>
      </w:r>
      <w:r w:rsidRPr="00B259BF">
        <w:rPr>
          <w:rFonts w:ascii="標楷體" w:eastAsia="標楷體" w:hAnsi="標楷體"/>
          <w:color w:val="000000"/>
        </w:rPr>
        <w:t>方</w:t>
      </w:r>
      <w:r w:rsidRPr="00B259BF">
        <w:rPr>
          <w:rFonts w:ascii="標楷體" w:eastAsia="標楷體" w:hAnsi="標楷體" w:hint="eastAsia"/>
          <w:color w:val="000000"/>
        </w:rPr>
        <w:t>未能於約定時間消除前一營業日之</w:t>
      </w:r>
      <w:r w:rsidR="001A6323" w:rsidRPr="001A6323">
        <w:rPr>
          <w:rFonts w:eastAsia="標楷體" w:hAnsi="標楷體" w:hint="eastAsia"/>
          <w:color w:val="000000"/>
        </w:rPr>
        <w:t>盤後</w:t>
      </w:r>
      <w:r w:rsidRPr="00B259BF">
        <w:rPr>
          <w:rFonts w:ascii="標楷體" w:eastAsia="標楷體" w:hAnsi="標楷體" w:hint="eastAsia"/>
          <w:color w:val="000000"/>
        </w:rPr>
        <w:t>保證金追繳，</w:t>
      </w:r>
      <w:r w:rsidRPr="00B259BF">
        <w:rPr>
          <w:rFonts w:ascii="標楷體" w:eastAsia="標楷體" w:hAnsi="標楷體"/>
          <w:color w:val="000000"/>
        </w:rPr>
        <w:t>乙方</w:t>
      </w:r>
      <w:r w:rsidRPr="00B259BF">
        <w:rPr>
          <w:rFonts w:ascii="標楷體" w:eastAsia="標楷體" w:hAnsi="標楷體" w:hint="eastAsia"/>
          <w:color w:val="000000"/>
        </w:rPr>
        <w:t>應將甲方帳戶之部位沖銷至權益數大於或等於未沖銷部位所需原始保證金</w:t>
      </w:r>
      <w:r w:rsidRPr="00B259BF">
        <w:rPr>
          <w:rFonts w:ascii="標楷體" w:eastAsia="標楷體" w:hAnsi="標楷體"/>
          <w:color w:val="000000"/>
        </w:rPr>
        <w:t>。</w:t>
      </w:r>
    </w:p>
    <w:p w:rsidR="00B259BF" w:rsidRPr="00B259BF" w:rsidRDefault="00B259BF" w:rsidP="00B259BF">
      <w:pPr>
        <w:pStyle w:val="HTML"/>
        <w:snapToGrid w:val="0"/>
        <w:spacing w:line="540" w:lineRule="exact"/>
        <w:jc w:val="both"/>
        <w:rPr>
          <w:rFonts w:ascii="標楷體" w:eastAsia="標楷體" w:hAnsi="標楷體"/>
          <w:color w:val="000000"/>
        </w:rPr>
      </w:pPr>
      <w:r w:rsidRPr="00B259BF">
        <w:rPr>
          <w:color w:val="000000"/>
        </w:rPr>
        <w:t xml:space="preserve">    </w:t>
      </w:r>
      <w:r w:rsidRPr="00B259BF">
        <w:rPr>
          <w:rFonts w:ascii="標楷體" w:eastAsia="標楷體" w:hAnsi="標楷體"/>
          <w:color w:val="000000"/>
        </w:rPr>
        <w:t>遇有下列各款情事之一者，乙方</w:t>
      </w:r>
      <w:r w:rsidRPr="00B259BF">
        <w:rPr>
          <w:rFonts w:ascii="標楷體" w:eastAsia="標楷體" w:hAnsi="標楷體" w:hint="eastAsia"/>
          <w:color w:val="000000"/>
        </w:rPr>
        <w:t>得開始執行代為沖銷作業程序</w:t>
      </w:r>
      <w:r w:rsidRPr="00B259BF">
        <w:rPr>
          <w:rFonts w:ascii="標楷體" w:eastAsia="標楷體" w:hAnsi="標楷體"/>
          <w:color w:val="000000"/>
        </w:rPr>
        <w:t>：</w:t>
      </w:r>
    </w:p>
    <w:p w:rsidR="00B259BF" w:rsidRPr="00B259BF" w:rsidRDefault="00B259BF" w:rsidP="00B259BF">
      <w:pPr>
        <w:spacing w:line="540" w:lineRule="exact"/>
        <w:ind w:left="480" w:hangingChars="200" w:hanging="480"/>
        <w:jc w:val="both"/>
        <w:rPr>
          <w:rFonts w:eastAsia="標楷體" w:hAnsi="標楷體"/>
          <w:color w:val="000000"/>
        </w:rPr>
      </w:pPr>
      <w:r w:rsidRPr="00B259BF">
        <w:rPr>
          <w:rFonts w:ascii="標楷體" w:eastAsia="標楷體" w:hAnsi="標楷體" w:cs="Courier New" w:hint="eastAsia"/>
          <w:color w:val="000000"/>
          <w:kern w:val="0"/>
        </w:rPr>
        <w:t>一</w:t>
      </w:r>
      <w:r w:rsidRPr="00B259BF">
        <w:rPr>
          <w:rFonts w:eastAsia="標楷體" w:hAnsi="標楷體"/>
          <w:color w:val="000000"/>
        </w:rPr>
        <w:t>、乙方依市場及其他情況認為有必要為之者。</w:t>
      </w:r>
    </w:p>
    <w:p w:rsidR="00B259BF" w:rsidRPr="00B259BF" w:rsidRDefault="00B259BF" w:rsidP="00B259BF">
      <w:pPr>
        <w:spacing w:line="540" w:lineRule="exact"/>
        <w:ind w:left="480" w:hangingChars="200" w:hanging="480"/>
        <w:jc w:val="both"/>
        <w:rPr>
          <w:rFonts w:eastAsia="標楷體" w:hAnsi="標楷體"/>
          <w:color w:val="000000"/>
        </w:rPr>
      </w:pPr>
      <w:r w:rsidRPr="00B259BF">
        <w:rPr>
          <w:rFonts w:ascii="標楷體" w:eastAsia="標楷體" w:hAnsi="標楷體" w:cs="Courier New" w:hint="eastAsia"/>
          <w:color w:val="000000"/>
          <w:kern w:val="0"/>
        </w:rPr>
        <w:t>二</w:t>
      </w:r>
      <w:r w:rsidRPr="00B259BF">
        <w:rPr>
          <w:rFonts w:eastAsia="標楷體" w:hAnsi="標楷體"/>
          <w:color w:val="000000"/>
        </w:rPr>
        <w:t>、甲方死亡或依法宣告無行為能力或受禁</w:t>
      </w:r>
      <w:r w:rsidRPr="00B259BF">
        <w:rPr>
          <w:rFonts w:eastAsia="標楷體" w:hAnsi="標楷體" w:hint="eastAsia"/>
          <w:color w:val="000000"/>
        </w:rPr>
        <w:t>治</w:t>
      </w:r>
      <w:r w:rsidRPr="00B259BF">
        <w:rPr>
          <w:rFonts w:eastAsia="標楷體" w:hAnsi="標楷體"/>
          <w:color w:val="000000"/>
        </w:rPr>
        <w:t>產宣告、受破產宣告或有喪失信用之虞或其他影響交易進行等重大情事發生者。</w:t>
      </w:r>
    </w:p>
    <w:p w:rsidR="00B259BF" w:rsidRPr="00B259BF" w:rsidRDefault="00B259BF" w:rsidP="00B259BF">
      <w:pPr>
        <w:spacing w:line="540" w:lineRule="exact"/>
        <w:ind w:left="480" w:hangingChars="200" w:hanging="480"/>
        <w:jc w:val="both"/>
        <w:rPr>
          <w:rFonts w:eastAsia="標楷體" w:hAnsi="標楷體"/>
          <w:color w:val="000000"/>
        </w:rPr>
      </w:pPr>
      <w:r w:rsidRPr="00B259BF">
        <w:rPr>
          <w:rFonts w:ascii="標楷體" w:eastAsia="標楷體" w:hAnsi="標楷體" w:cs="Courier New" w:hint="eastAsia"/>
          <w:color w:val="000000"/>
          <w:kern w:val="0"/>
        </w:rPr>
        <w:t>三</w:t>
      </w:r>
      <w:r w:rsidRPr="00B259BF">
        <w:rPr>
          <w:rFonts w:eastAsia="標楷體" w:hAnsi="標楷體"/>
          <w:color w:val="000000"/>
        </w:rPr>
        <w:t>、丙方代理甲方</w:t>
      </w:r>
      <w:r w:rsidRPr="00B259BF">
        <w:rPr>
          <w:rFonts w:ascii="標楷體" w:eastAsia="標楷體" w:hAnsi="標楷體" w:hint="eastAsia"/>
          <w:color w:val="000000"/>
        </w:rPr>
        <w:t>從事期貨交易</w:t>
      </w:r>
      <w:r w:rsidRPr="00B259BF">
        <w:rPr>
          <w:rFonts w:eastAsia="標楷體" w:hAnsi="標楷體"/>
          <w:color w:val="000000"/>
        </w:rPr>
        <w:t>，未於相關期貨交易契約第一通知日或最後交易日的前一交易日收盤前，將所有未</w:t>
      </w:r>
      <w:r w:rsidRPr="00B259BF">
        <w:rPr>
          <w:rFonts w:ascii="標楷體" w:eastAsia="標楷體" w:hAnsi="標楷體" w:cs="Courier New" w:hint="eastAsia"/>
          <w:color w:val="000000"/>
          <w:kern w:val="0"/>
        </w:rPr>
        <w:t>沖銷</w:t>
      </w:r>
      <w:r w:rsidRPr="00B259BF">
        <w:rPr>
          <w:rFonts w:eastAsia="標楷體" w:hAnsi="標楷體"/>
          <w:color w:val="000000"/>
        </w:rPr>
        <w:t>的期貨交易契約了結者。</w:t>
      </w:r>
    </w:p>
    <w:p w:rsidR="00B259BF" w:rsidRPr="00B259BF" w:rsidRDefault="00B259BF" w:rsidP="00F80C5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540" w:lineRule="exact"/>
        <w:ind w:firstLineChars="232" w:firstLine="557"/>
        <w:jc w:val="both"/>
        <w:rPr>
          <w:rFonts w:ascii="標楷體" w:eastAsia="標楷體" w:hAnsi="標楷體"/>
          <w:color w:val="000000"/>
        </w:rPr>
      </w:pPr>
      <w:r w:rsidRPr="00B259BF">
        <w:rPr>
          <w:rFonts w:eastAsia="標楷體" w:hAnsi="標楷體" w:hint="eastAsia"/>
          <w:color w:val="000000"/>
        </w:rPr>
        <w:t>甲、丙方認知乙方依前項規定代甲方進行沖銷係屬乙方之權利而非義務，乙方不須對其未代甲方進行沖銷之結果負責。</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eastAsia="標楷體" w:hAnsi="標楷體" w:hint="eastAsia"/>
          <w:color w:val="000000"/>
        </w:rPr>
        <w:t>二</w:t>
      </w:r>
      <w:r w:rsidRPr="00B259BF">
        <w:rPr>
          <w:rFonts w:ascii="標楷體" w:eastAsia="標楷體" w:hAnsi="標楷體"/>
          <w:color w:val="000000"/>
        </w:rPr>
        <w:t>條   (違約)</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保管機構未能代理甲方辦理結算交割事項，或甲方部位經乙方依本</w:t>
      </w:r>
      <w:r w:rsidRPr="00B259BF">
        <w:rPr>
          <w:rFonts w:ascii="標楷體" w:eastAsia="標楷體" w:hAnsi="標楷體" w:hint="eastAsia"/>
          <w:color w:val="000000"/>
        </w:rPr>
        <w:t>契</w:t>
      </w:r>
      <w:r w:rsidRPr="00B259BF">
        <w:rPr>
          <w:rFonts w:ascii="標楷體" w:eastAsia="標楷體" w:hAnsi="標楷體"/>
          <w:color w:val="000000"/>
        </w:rPr>
        <w:t>約</w:t>
      </w:r>
      <w:r w:rsidRPr="00B259BF">
        <w:rPr>
          <w:rFonts w:ascii="標楷體" w:eastAsia="標楷體" w:hAnsi="標楷體" w:hint="eastAsia"/>
          <w:color w:val="000000"/>
        </w:rPr>
        <w:t>之規定</w:t>
      </w:r>
      <w:r w:rsidRPr="00B259BF">
        <w:rPr>
          <w:rFonts w:ascii="標楷體" w:eastAsia="標楷體" w:hAnsi="標楷體"/>
          <w:color w:val="000000"/>
        </w:rPr>
        <w:t>沖銷後，其帳戶權益</w:t>
      </w:r>
      <w:r w:rsidRPr="00B259BF">
        <w:rPr>
          <w:rFonts w:ascii="標楷體" w:eastAsia="標楷體" w:hAnsi="標楷體" w:hint="eastAsia"/>
          <w:color w:val="000000"/>
        </w:rPr>
        <w:t>數</w:t>
      </w:r>
      <w:r w:rsidRPr="00B259BF">
        <w:rPr>
          <w:rFonts w:ascii="標楷體" w:eastAsia="標楷體" w:hAnsi="標楷體"/>
          <w:color w:val="000000"/>
        </w:rPr>
        <w:t>為負數，經乙方通知</w:t>
      </w:r>
      <w:r w:rsidRPr="00B259BF">
        <w:rPr>
          <w:rFonts w:ascii="標楷體" w:eastAsia="標楷體" w:hAnsi="標楷體" w:hint="eastAsia"/>
          <w:color w:val="000000"/>
        </w:rPr>
        <w:t>丙方後</w:t>
      </w:r>
      <w:r w:rsidRPr="00B259BF">
        <w:rPr>
          <w:rFonts w:ascii="標楷體" w:eastAsia="標楷體" w:hAnsi="標楷體"/>
          <w:color w:val="000000"/>
        </w:rPr>
        <w:t>，保管機構未於三個營業日內為適當處理者，乙方應</w:t>
      </w:r>
      <w:r w:rsidRPr="00B259BF">
        <w:rPr>
          <w:rFonts w:ascii="標楷體" w:eastAsia="標楷體" w:hAnsi="標楷體" w:hint="eastAsia"/>
          <w:color w:val="000000"/>
        </w:rPr>
        <w:t>將甲方視為違約客戶，並依第一條之</w:t>
      </w:r>
      <w:r w:rsidRPr="00B259BF">
        <w:rPr>
          <w:rFonts w:ascii="標楷體" w:eastAsia="標楷體" w:hAnsi="標楷體"/>
          <w:color w:val="000000"/>
        </w:rPr>
        <w:t>相關法令規定處理之。</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ascii="標楷體" w:eastAsia="標楷體" w:hAnsi="標楷體" w:hint="eastAsia"/>
          <w:color w:val="000000"/>
        </w:rPr>
        <w:t>三</w:t>
      </w:r>
      <w:r w:rsidRPr="00B259BF">
        <w:rPr>
          <w:rFonts w:ascii="標楷體" w:eastAsia="標楷體" w:hAnsi="標楷體"/>
          <w:color w:val="000000"/>
        </w:rPr>
        <w:t>條   (損害賠償責任歸屬)</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如因可歸責於一方當事人之事由致他方當事人受有損害者，該可歸責之一方當事人應對他方當事人負損害賠償之責任。</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乙方對於因法令或交易規則之變更、通訊或傳送設備之故障、或因重大情事變更、天災、不可抗力等乙方無法控制之事由或無法歸責於乙方者，致委託傳達遲延、錯誤、時差或匯率變動所造成之損害不負責任。</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ascii="標楷體" w:eastAsia="標楷體" w:hAnsi="標楷體" w:hint="eastAsia"/>
          <w:color w:val="000000"/>
        </w:rPr>
        <w:t>四</w:t>
      </w:r>
      <w:r w:rsidRPr="00B259BF">
        <w:rPr>
          <w:rFonts w:ascii="標楷體" w:eastAsia="標楷體" w:hAnsi="標楷體"/>
          <w:color w:val="000000"/>
        </w:rPr>
        <w:t>條   (代理權限制之對抗效力)</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甲方不得以其與保管機構、丙方所簽訂之委任契約、期貨交易全權委任契約所定代理權之限制，對抗乙方。</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lastRenderedPageBreak/>
        <w:t xml:space="preserve">    甲方與保管機構之委任契約，經撤銷、解除或終止者，乙方於接獲書面通知時，受託買賣已成交及已輸入未及撤銷而已成交之交易，就該交易待結算交割之款項部分，該委任契約視為存續，保管機構應就該待結算交割款項之部分予以留置並代為辦理結算交割。</w:t>
      </w:r>
    </w:p>
    <w:p w:rsidR="00B259BF" w:rsidRPr="00B259BF" w:rsidRDefault="00B259BF" w:rsidP="00B259BF">
      <w:pPr>
        <w:pStyle w:val="HTML"/>
        <w:snapToGrid w:val="0"/>
        <w:spacing w:line="48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ascii="標楷體" w:eastAsia="標楷體" w:hAnsi="標楷體" w:hint="eastAsia"/>
          <w:color w:val="000000"/>
        </w:rPr>
        <w:t>五</w:t>
      </w:r>
      <w:r w:rsidRPr="00B259BF">
        <w:rPr>
          <w:rFonts w:ascii="標楷體" w:eastAsia="標楷體" w:hAnsi="標楷體"/>
          <w:color w:val="000000"/>
        </w:rPr>
        <w:t>條   (委託交易之停止)</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本</w:t>
      </w:r>
      <w:r w:rsidRPr="00B259BF">
        <w:rPr>
          <w:rFonts w:ascii="標楷體" w:eastAsia="標楷體" w:hAnsi="標楷體" w:hint="eastAsia"/>
          <w:color w:val="000000"/>
        </w:rPr>
        <w:t>契</w:t>
      </w:r>
      <w:r w:rsidRPr="00B259BF">
        <w:rPr>
          <w:rFonts w:ascii="標楷體" w:eastAsia="標楷體" w:hAnsi="標楷體"/>
          <w:color w:val="000000"/>
        </w:rPr>
        <w:t>約存續期間內乙方接獲甲方、丙方或保管機構有關本</w:t>
      </w:r>
      <w:r w:rsidRPr="00B259BF">
        <w:rPr>
          <w:rFonts w:ascii="標楷體" w:eastAsia="標楷體" w:hAnsi="標楷體" w:hint="eastAsia"/>
          <w:color w:val="000000"/>
        </w:rPr>
        <w:t>契</w:t>
      </w:r>
      <w:r w:rsidRPr="00B259BF">
        <w:rPr>
          <w:rFonts w:ascii="標楷體" w:eastAsia="標楷體" w:hAnsi="標楷體"/>
          <w:color w:val="000000"/>
        </w:rPr>
        <w:t>約所定開戶、交易、保證金與權利金收付及結算交割之代理權有終止、撤銷、解除或其他爭議之書面通知時，乙方應停止接受丙方之委託交易。</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ascii="標楷體" w:eastAsia="標楷體" w:hAnsi="標楷體" w:hint="eastAsia"/>
          <w:color w:val="000000"/>
        </w:rPr>
        <w:t>六</w:t>
      </w:r>
      <w:r w:rsidRPr="00B259BF">
        <w:rPr>
          <w:rFonts w:ascii="標楷體" w:eastAsia="標楷體" w:hAnsi="標楷體"/>
          <w:color w:val="000000"/>
        </w:rPr>
        <w:t>條   (契約變更)</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本契約內容之變更，應由保管機構代理甲方會同丙方與乙方以書面為之。</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第十</w:t>
      </w:r>
      <w:r w:rsidRPr="00B259BF">
        <w:rPr>
          <w:rFonts w:ascii="標楷體" w:eastAsia="標楷體" w:hAnsi="標楷體" w:hint="eastAsia"/>
          <w:color w:val="000000"/>
        </w:rPr>
        <w:t>七</w:t>
      </w:r>
      <w:r w:rsidRPr="00B259BF">
        <w:rPr>
          <w:rFonts w:ascii="標楷體" w:eastAsia="標楷體" w:hAnsi="標楷體"/>
          <w:color w:val="000000"/>
        </w:rPr>
        <w:t>條   (</w:t>
      </w:r>
      <w:r w:rsidRPr="00B259BF">
        <w:rPr>
          <w:rFonts w:ascii="標楷體" w:eastAsia="標楷體" w:hAnsi="標楷體" w:hint="eastAsia"/>
          <w:color w:val="000000"/>
        </w:rPr>
        <w:t>帳戶之移轉</w:t>
      </w:r>
      <w:r w:rsidRPr="00B259BF">
        <w:rPr>
          <w:rFonts w:ascii="標楷體" w:eastAsia="標楷體" w:hAnsi="標楷體"/>
          <w:color w:val="000000"/>
        </w:rPr>
        <w:t>)</w:t>
      </w:r>
    </w:p>
    <w:p w:rsidR="00B259BF" w:rsidRPr="00B259BF" w:rsidRDefault="00B259BF" w:rsidP="00B259BF">
      <w:pPr>
        <w:pStyle w:val="HTML"/>
        <w:snapToGrid w:val="0"/>
        <w:spacing w:line="54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任何一方不得將本契約之權利義務轉讓予他人。</w:t>
      </w:r>
    </w:p>
    <w:p w:rsidR="00B259BF" w:rsidRPr="00B259BF" w:rsidRDefault="00B259BF" w:rsidP="00B259BF">
      <w:pPr>
        <w:pStyle w:val="HTML"/>
        <w:snapToGrid w:val="0"/>
        <w:spacing w:line="54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 xml:space="preserve">乙方遇有破產、解散、停業或依法令應停止收受下單時，依期貨商交易規則第五十六條第一項規定，得依主管機關命令將甲方之期貨交易帳戶移轉與乙方訂有承受契約之其他期貨經紀商，甲方及丙方應依乙方之指示配合辦理帳戶移轉之事宜。  </w:t>
      </w:r>
    </w:p>
    <w:p w:rsidR="00B259BF" w:rsidRPr="00B259BF" w:rsidRDefault="00B259BF" w:rsidP="00B259BF">
      <w:pPr>
        <w:pStyle w:val="HTML"/>
        <w:snapToGrid w:val="0"/>
        <w:spacing w:line="54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因前項帳戶移轉所生之一切費用由乙方負責。但因甲、丙方怠於依乙方之指示配合辦理或其他不可歸責於乙方之事由，致甲方所生之損害，乙方不負賠償之責。</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第十八條   (財務狀況之徵信及徵信範圍)</w:t>
      </w:r>
    </w:p>
    <w:p w:rsidR="00B259BF" w:rsidRPr="00B259BF" w:rsidRDefault="00B259BF" w:rsidP="00B259BF">
      <w:pPr>
        <w:pStyle w:val="HTML"/>
        <w:snapToGrid w:val="0"/>
        <w:spacing w:line="54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乙方對於甲方履行交易之能力有疑義時，甲方同意乙方或其代理人於必要範圍內，得對甲方之財務信用狀況及甲方所提供之基本資料進行調查或查證，甲、丙方應配合向乙方說明。</w:t>
      </w:r>
    </w:p>
    <w:p w:rsidR="00B259BF" w:rsidRPr="00B259BF" w:rsidRDefault="00B259BF" w:rsidP="00B259BF">
      <w:pPr>
        <w:pStyle w:val="HTML"/>
        <w:snapToGrid w:val="0"/>
        <w:spacing w:line="540" w:lineRule="atLeast"/>
        <w:ind w:firstLineChars="200" w:firstLine="480"/>
        <w:jc w:val="both"/>
        <w:rPr>
          <w:rFonts w:ascii="標楷體" w:eastAsia="標楷體" w:hAnsi="標楷體"/>
          <w:color w:val="000000"/>
        </w:rPr>
      </w:pPr>
      <w:r w:rsidRPr="00B259BF">
        <w:rPr>
          <w:rFonts w:ascii="標楷體" w:eastAsia="標楷體" w:hAnsi="標楷體" w:hint="eastAsia"/>
          <w:color w:val="000000"/>
        </w:rPr>
        <w:t>乙方對於依本條規定所取得之甲方資料，除依法令所為之查詢外，應予保密。</w:t>
      </w:r>
    </w:p>
    <w:p w:rsidR="00B259BF" w:rsidRPr="00B259BF" w:rsidRDefault="00B259BF" w:rsidP="00B259BF">
      <w:pPr>
        <w:pStyle w:val="HTML"/>
        <w:snapToGrid w:val="0"/>
        <w:spacing w:line="3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第十九條   (乙方提供資訊及服務之範圍)</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 xml:space="preserve">    乙方應於營業場所提供甲、丙方各類期貨交易契約市場行情、即時資訊、主管機關公告及其他資訊。</w:t>
      </w:r>
    </w:p>
    <w:p w:rsid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lastRenderedPageBreak/>
        <w:t xml:space="preserve">    前項資訊之提供，僅作為丙方代理甲方進行期貨交易之參考，並不代表乙方勸誘丙方代理甲方進行期貨交易。乙方所提供之資訊係得自於一般認為可資信賴之來源，惟乙方並不保證此等資訊之正確與完整。</w:t>
      </w:r>
    </w:p>
    <w:p w:rsidR="00B259BF" w:rsidRPr="00B259BF" w:rsidRDefault="00B259BF" w:rsidP="00B259BF">
      <w:pPr>
        <w:pStyle w:val="HTML"/>
        <w:snapToGrid w:val="0"/>
        <w:spacing w:line="54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ascii="標楷體" w:eastAsia="標楷體" w:hAnsi="標楷體" w:hint="eastAsia"/>
          <w:color w:val="000000"/>
        </w:rPr>
        <w:t>二十</w:t>
      </w:r>
      <w:r w:rsidRPr="00B259BF">
        <w:rPr>
          <w:rFonts w:ascii="標楷體" w:eastAsia="標楷體" w:hAnsi="標楷體"/>
          <w:color w:val="000000"/>
        </w:rPr>
        <w:t>條   (契約之終止)</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當事人之一方得隨時以書面通知他方當事人終止本</w:t>
      </w:r>
      <w:r w:rsidRPr="00B259BF">
        <w:rPr>
          <w:rFonts w:ascii="標楷體" w:eastAsia="標楷體" w:hAnsi="標楷體" w:hint="eastAsia"/>
          <w:color w:val="000000"/>
        </w:rPr>
        <w:t>契</w:t>
      </w:r>
      <w:r w:rsidRPr="00B259BF">
        <w:rPr>
          <w:rFonts w:ascii="標楷體" w:eastAsia="標楷體" w:hAnsi="標楷體"/>
          <w:color w:val="000000"/>
        </w:rPr>
        <w:t>約；甲方欲終止本</w:t>
      </w:r>
      <w:r w:rsidRPr="00B259BF">
        <w:rPr>
          <w:rFonts w:ascii="標楷體" w:eastAsia="標楷體" w:hAnsi="標楷體" w:hint="eastAsia"/>
          <w:color w:val="000000"/>
        </w:rPr>
        <w:t>契</w:t>
      </w:r>
      <w:r w:rsidRPr="00B259BF">
        <w:rPr>
          <w:rFonts w:ascii="標楷體" w:eastAsia="標楷體" w:hAnsi="標楷體"/>
          <w:color w:val="000000"/>
        </w:rPr>
        <w:t>約時，應由保管機構代理甲方並會同丙方，通知乙方終止。</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本契約終止時，乙方</w:t>
      </w:r>
      <w:r w:rsidRPr="00B259BF">
        <w:rPr>
          <w:rFonts w:ascii="標楷體" w:eastAsia="標楷體" w:hAnsi="標楷體" w:hint="eastAsia"/>
          <w:color w:val="000000"/>
        </w:rPr>
        <w:t>代理</w:t>
      </w:r>
      <w:r w:rsidRPr="00B259BF">
        <w:rPr>
          <w:rFonts w:ascii="標楷體" w:eastAsia="標楷體" w:hAnsi="標楷體"/>
          <w:color w:val="000000"/>
        </w:rPr>
        <w:t>丙方</w:t>
      </w:r>
      <w:r w:rsidRPr="00B259BF">
        <w:rPr>
          <w:rFonts w:ascii="標楷體" w:eastAsia="標楷體" w:hAnsi="標楷體" w:hint="eastAsia"/>
          <w:color w:val="000000"/>
        </w:rPr>
        <w:t>從事</w:t>
      </w:r>
      <w:r w:rsidRPr="00B259BF">
        <w:rPr>
          <w:rFonts w:ascii="標楷體" w:eastAsia="標楷體" w:hAnsi="標楷體"/>
          <w:color w:val="000000"/>
        </w:rPr>
        <w:t>期貨交易已完成之交易委託，或進行中未及撤回或未及沖銷原有契約部位之交易委託效力仍及於甲方，甲方對其交易過程及結果仍應負責。</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本契約終止時，丙方應代理甲方，立即與乙方結清所有既存之交易部位，惟在終止前既存之債務或義務並不因此終止而受影響。</w:t>
      </w:r>
    </w:p>
    <w:p w:rsidR="00B259BF" w:rsidRPr="00B259BF" w:rsidRDefault="00B259BF" w:rsidP="00B259BF">
      <w:pPr>
        <w:pStyle w:val="HTML"/>
        <w:snapToGrid w:val="0"/>
        <w:spacing w:line="6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hint="eastAsia"/>
          <w:color w:val="000000"/>
        </w:rPr>
        <w:t>第二十一條   (基本資料異動之通知)</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w:t>
      </w:r>
      <w:r w:rsidRPr="00B259BF">
        <w:rPr>
          <w:rFonts w:ascii="標楷體" w:eastAsia="標楷體" w:hAnsi="標楷體" w:hint="eastAsia"/>
          <w:color w:val="000000"/>
        </w:rPr>
        <w:t>甲、丙方及保管機構所提供之基本資料有異動時，應儘速通知乙方變更，並配合乙方辦理必要之變更手續。</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立約人就有關本</w:t>
      </w:r>
      <w:r w:rsidRPr="00B259BF">
        <w:rPr>
          <w:rFonts w:ascii="標楷體" w:eastAsia="標楷體" w:hAnsi="標楷體" w:hint="eastAsia"/>
          <w:color w:val="000000"/>
        </w:rPr>
        <w:t>契</w:t>
      </w:r>
      <w:r w:rsidRPr="00B259BF">
        <w:rPr>
          <w:rFonts w:ascii="標楷體" w:eastAsia="標楷體" w:hAnsi="標楷體"/>
          <w:color w:val="000000"/>
        </w:rPr>
        <w:t>約之一切意思表示及觀念通知，除另有約定外，應以本契約所載通訊處所及通訊工具以口頭或書面方式為之。</w:t>
      </w:r>
    </w:p>
    <w:p w:rsidR="00B259BF" w:rsidRPr="00B259BF" w:rsidRDefault="00B259BF" w:rsidP="00B259BF">
      <w:pPr>
        <w:pStyle w:val="HTML"/>
        <w:snapToGrid w:val="0"/>
        <w:spacing w:line="6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第</w:t>
      </w:r>
      <w:r w:rsidRPr="00B259BF">
        <w:rPr>
          <w:rFonts w:ascii="標楷體" w:eastAsia="標楷體" w:hAnsi="標楷體" w:hint="eastAsia"/>
          <w:color w:val="000000"/>
        </w:rPr>
        <w:t>二</w:t>
      </w:r>
      <w:r w:rsidRPr="00B259BF">
        <w:rPr>
          <w:rFonts w:ascii="標楷體" w:eastAsia="標楷體" w:hAnsi="標楷體"/>
          <w:color w:val="000000"/>
        </w:rPr>
        <w:t>十</w:t>
      </w:r>
      <w:r w:rsidRPr="00B259BF">
        <w:rPr>
          <w:rFonts w:ascii="標楷體" w:eastAsia="標楷體" w:hAnsi="標楷體" w:hint="eastAsia"/>
          <w:color w:val="000000"/>
        </w:rPr>
        <w:t>二</w:t>
      </w:r>
      <w:r w:rsidRPr="00B259BF">
        <w:rPr>
          <w:rFonts w:ascii="標楷體" w:eastAsia="標楷體" w:hAnsi="標楷體"/>
          <w:color w:val="000000"/>
        </w:rPr>
        <w:t>條   (紛爭處理及仲裁約定)</w:t>
      </w: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 xml:space="preserve">    因本契約所生之爭執，各方同意</w:t>
      </w:r>
      <w:r w:rsidRPr="00B259BF">
        <w:rPr>
          <w:rFonts w:ascii="標楷體" w:eastAsia="標楷體" w:hAnsi="標楷體" w:hint="eastAsia"/>
          <w:color w:val="000000"/>
        </w:rPr>
        <w:t>得依</w:t>
      </w:r>
      <w:r w:rsidRPr="00B259BF">
        <w:rPr>
          <w:rFonts w:ascii="標楷體" w:eastAsia="標楷體" w:hAnsi="標楷體"/>
          <w:color w:val="000000"/>
        </w:rPr>
        <w:t>仲裁法交付仲裁。</w:t>
      </w:r>
    </w:p>
    <w:p w:rsidR="00B259BF" w:rsidRPr="00B259BF" w:rsidRDefault="00B259BF" w:rsidP="00B259BF">
      <w:pPr>
        <w:pStyle w:val="HTML"/>
        <w:snapToGrid w:val="0"/>
        <w:spacing w:line="600" w:lineRule="atLeast"/>
        <w:jc w:val="both"/>
        <w:rPr>
          <w:rFonts w:ascii="標楷體" w:eastAsia="標楷體" w:hAnsi="標楷體"/>
          <w:color w:val="000000"/>
        </w:rPr>
      </w:pPr>
    </w:p>
    <w:p w:rsidR="00B259BF" w:rsidRPr="00B259BF" w:rsidRDefault="00B259BF" w:rsidP="00B259BF">
      <w:pPr>
        <w:pStyle w:val="HTML"/>
        <w:snapToGrid w:val="0"/>
        <w:spacing w:line="540" w:lineRule="atLeast"/>
        <w:jc w:val="both"/>
        <w:rPr>
          <w:rFonts w:ascii="標楷體" w:eastAsia="標楷體" w:hAnsi="標楷體"/>
          <w:color w:val="000000"/>
        </w:rPr>
      </w:pPr>
      <w:r w:rsidRPr="00B259BF">
        <w:rPr>
          <w:rFonts w:ascii="標楷體" w:eastAsia="標楷體" w:hAnsi="標楷體"/>
          <w:color w:val="000000"/>
        </w:rPr>
        <w:t>本契約一式</w:t>
      </w:r>
      <w:r w:rsidRPr="00B259BF">
        <w:rPr>
          <w:rFonts w:ascii="標楷體" w:eastAsia="標楷體" w:hAnsi="標楷體" w:hint="eastAsia"/>
          <w:color w:val="000000"/>
        </w:rPr>
        <w:t>三</w:t>
      </w:r>
      <w:r w:rsidRPr="00B259BF">
        <w:rPr>
          <w:rFonts w:ascii="標楷體" w:eastAsia="標楷體" w:hAnsi="標楷體"/>
          <w:color w:val="000000"/>
        </w:rPr>
        <w:t>份，保管機構 (甲方代理人) 、乙方及丙方各執一份為憑。</w:t>
      </w:r>
    </w:p>
    <w:p w:rsidR="00B259BF" w:rsidRPr="00B259BF" w:rsidRDefault="00B259BF" w:rsidP="00B259BF">
      <w:pPr>
        <w:pStyle w:val="HTML"/>
        <w:snapToGrid w:val="0"/>
        <w:spacing w:line="300" w:lineRule="exact"/>
        <w:ind w:firstLineChars="192" w:firstLine="461"/>
        <w:jc w:val="both"/>
        <w:rPr>
          <w:rFonts w:ascii="標楷體" w:eastAsia="標楷體" w:hAnsi="標楷體"/>
          <w:color w:val="000000"/>
        </w:rPr>
      </w:pPr>
    </w:p>
    <w:p w:rsidR="00B259BF" w:rsidRPr="00B259BF" w:rsidRDefault="00B259BF" w:rsidP="00B259BF">
      <w:pPr>
        <w:pStyle w:val="HTML"/>
        <w:snapToGrid w:val="0"/>
        <w:spacing w:line="520" w:lineRule="atLeast"/>
        <w:ind w:left="960" w:hangingChars="400" w:hanging="960"/>
        <w:jc w:val="both"/>
        <w:rPr>
          <w:rFonts w:ascii="Times New Roman" w:eastAsia="標楷體" w:hAnsi="Times New Roman" w:cs="Times New Roman"/>
          <w:color w:val="000000"/>
        </w:rPr>
      </w:pPr>
      <w:r w:rsidRPr="00B259BF">
        <w:rPr>
          <w:rFonts w:ascii="標楷體" w:eastAsia="標楷體" w:hAnsi="標楷體"/>
          <w:color w:val="000000"/>
        </w:rPr>
        <w:t>附件：</w:t>
      </w:r>
      <w:r w:rsidRPr="00B259BF">
        <w:rPr>
          <w:rFonts w:ascii="Times New Roman" w:eastAsia="標楷體" w:hAnsi="Times New Roman" w:cs="Times New Roman"/>
          <w:color w:val="000000"/>
        </w:rPr>
        <w:t>1.</w:t>
      </w:r>
      <w:r w:rsidRPr="00B259BF">
        <w:rPr>
          <w:rFonts w:ascii="Times New Roman" w:eastAsia="標楷體" w:hAnsi="Times New Roman" w:cs="Times New Roman"/>
          <w:color w:val="000000"/>
        </w:rPr>
        <w:t>甲方授權保管機構</w:t>
      </w:r>
      <w:r w:rsidRPr="00B259BF">
        <w:rPr>
          <w:rFonts w:ascii="Times New Roman" w:eastAsia="標楷體" w:hAnsi="Times New Roman" w:cs="Times New Roman"/>
          <w:color w:val="000000"/>
        </w:rPr>
        <w:t>(</w:t>
      </w:r>
      <w:r w:rsidRPr="00B259BF">
        <w:rPr>
          <w:rFonts w:ascii="Times New Roman" w:eastAsia="標楷體" w:hAnsi="Times New Roman" w:cs="Times New Roman"/>
          <w:color w:val="000000"/>
        </w:rPr>
        <w:t>代理人</w:t>
      </w:r>
      <w:r w:rsidRPr="00B259BF">
        <w:rPr>
          <w:rFonts w:ascii="Times New Roman" w:eastAsia="標楷體" w:hAnsi="Times New Roman" w:cs="Times New Roman"/>
          <w:color w:val="000000"/>
        </w:rPr>
        <w:t>)</w:t>
      </w:r>
      <w:r w:rsidRPr="00B259BF">
        <w:rPr>
          <w:rFonts w:ascii="Times New Roman" w:eastAsia="標楷體" w:hAnsi="Times New Roman" w:cs="Times New Roman"/>
          <w:color w:val="000000"/>
        </w:rPr>
        <w:t>為期貨交易帳戶開立、契約簽訂及保證金與權利金收付及結算交割之全權代理之授權書。</w:t>
      </w:r>
    </w:p>
    <w:p w:rsidR="00B259BF" w:rsidRPr="00B259BF" w:rsidRDefault="00B259BF" w:rsidP="00B259BF">
      <w:pPr>
        <w:pStyle w:val="HTML"/>
        <w:snapToGrid w:val="0"/>
        <w:spacing w:line="520" w:lineRule="atLeast"/>
        <w:jc w:val="both"/>
        <w:rPr>
          <w:rFonts w:ascii="標楷體" w:eastAsia="標楷體" w:hAnsi="標楷體"/>
          <w:color w:val="000000"/>
        </w:rPr>
      </w:pPr>
      <w:r w:rsidRPr="00B259BF">
        <w:rPr>
          <w:rFonts w:ascii="Times New Roman" w:eastAsia="標楷體" w:hAnsi="Times New Roman" w:cs="Times New Roman"/>
          <w:color w:val="000000"/>
        </w:rPr>
        <w:t xml:space="preserve">      2.</w:t>
      </w:r>
      <w:r w:rsidRPr="00B259BF">
        <w:rPr>
          <w:rFonts w:ascii="標楷體" w:eastAsia="標楷體" w:hAnsi="標楷體"/>
          <w:color w:val="000000"/>
        </w:rPr>
        <w:t>甲方授權丙方全權代理甲方</w:t>
      </w:r>
      <w:r w:rsidRPr="00B259BF">
        <w:rPr>
          <w:rFonts w:ascii="標楷體" w:eastAsia="標楷體" w:hAnsi="標楷體" w:hint="eastAsia"/>
          <w:color w:val="000000"/>
        </w:rPr>
        <w:t>從事</w:t>
      </w:r>
      <w:r w:rsidRPr="00B259BF">
        <w:rPr>
          <w:rFonts w:ascii="標楷體" w:eastAsia="標楷體" w:hAnsi="標楷體"/>
          <w:color w:val="000000"/>
        </w:rPr>
        <w:t>期貨</w:t>
      </w:r>
      <w:r w:rsidRPr="00B259BF">
        <w:rPr>
          <w:rFonts w:ascii="標楷體" w:eastAsia="標楷體" w:hAnsi="標楷體" w:hint="eastAsia"/>
          <w:color w:val="000000"/>
        </w:rPr>
        <w:t>買賣</w:t>
      </w:r>
      <w:r w:rsidRPr="00B259BF">
        <w:rPr>
          <w:rFonts w:ascii="標楷體" w:eastAsia="標楷體" w:hAnsi="標楷體"/>
          <w:color w:val="000000"/>
        </w:rPr>
        <w:t>之授權書。</w:t>
      </w:r>
    </w:p>
    <w:p w:rsidR="00B259BF" w:rsidRPr="00B259BF" w:rsidRDefault="00B259BF" w:rsidP="00B259BF">
      <w:pPr>
        <w:pStyle w:val="HTML"/>
        <w:snapToGrid w:val="0"/>
        <w:spacing w:line="520" w:lineRule="atLeast"/>
        <w:jc w:val="both"/>
        <w:rPr>
          <w:rFonts w:ascii="標楷體" w:eastAsia="標楷體" w:hAnsi="標楷體"/>
          <w:color w:val="000000"/>
        </w:rPr>
      </w:pPr>
    </w:p>
    <w:p w:rsidR="00B259BF" w:rsidRPr="00B259BF" w:rsidRDefault="00B259BF" w:rsidP="00B259BF">
      <w:pPr>
        <w:pStyle w:val="HTML"/>
        <w:snapToGrid w:val="0"/>
        <w:spacing w:line="520" w:lineRule="atLeast"/>
        <w:jc w:val="both"/>
        <w:rPr>
          <w:rFonts w:ascii="標楷體" w:eastAsia="標楷體" w:hAnsi="標楷體"/>
          <w:color w:val="000000"/>
        </w:rPr>
      </w:pPr>
      <w:r w:rsidRPr="00B259BF">
        <w:rPr>
          <w:rFonts w:ascii="標楷體" w:eastAsia="標楷體" w:hAnsi="標楷體"/>
          <w:color w:val="000000"/>
        </w:rPr>
        <w:lastRenderedPageBreak/>
        <w:t>立約人</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甲方：</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身分證號碼：</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傳真號碼：</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通訊地址：</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聯絡電話：</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代理人 (保管機構) ：           (簽名蓋章)</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代表人：</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傳真號碼：</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通訊地址：</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聯絡電話：</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乙方：                         (簽名蓋章)</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代表人：</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傳真號碼：</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通訊地址：</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聯絡電話：</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丙方：                         (簽名蓋章)</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代表人：</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傳真號碼：</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通訊地址：</w:t>
      </w:r>
    </w:p>
    <w:p w:rsidR="00B259BF" w:rsidRPr="00B259BF" w:rsidRDefault="00B259BF" w:rsidP="00B259BF">
      <w:pPr>
        <w:pStyle w:val="HTML"/>
        <w:snapToGrid w:val="0"/>
        <w:spacing w:line="600" w:lineRule="atLeast"/>
        <w:jc w:val="both"/>
        <w:rPr>
          <w:rFonts w:ascii="標楷體" w:eastAsia="標楷體" w:hAnsi="標楷體"/>
          <w:color w:val="000000"/>
        </w:rPr>
      </w:pPr>
      <w:r w:rsidRPr="00B259BF">
        <w:rPr>
          <w:rFonts w:ascii="標楷體" w:eastAsia="標楷體" w:hAnsi="標楷體"/>
          <w:color w:val="000000"/>
        </w:rPr>
        <w:t xml:space="preserve">        聯絡電話：</w:t>
      </w:r>
    </w:p>
    <w:p w:rsidR="00B259BF" w:rsidRPr="00B259BF" w:rsidRDefault="00B259BF" w:rsidP="00B259BF">
      <w:pPr>
        <w:pStyle w:val="HTML"/>
        <w:snapToGrid w:val="0"/>
        <w:spacing w:line="600" w:lineRule="atLeast"/>
        <w:jc w:val="both"/>
        <w:rPr>
          <w:rFonts w:ascii="標楷體" w:eastAsia="標楷體" w:hAnsi="標楷體"/>
          <w:color w:val="000000"/>
        </w:rPr>
      </w:pPr>
    </w:p>
    <w:p w:rsidR="00B259BF" w:rsidRPr="00B259BF" w:rsidRDefault="00B259BF" w:rsidP="00B259BF">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660" w:lineRule="atLeast"/>
        <w:jc w:val="distribute"/>
        <w:rPr>
          <w:rFonts w:ascii="標楷體" w:eastAsia="標楷體"/>
          <w:color w:val="000000"/>
        </w:rPr>
      </w:pPr>
      <w:r w:rsidRPr="00B259BF">
        <w:rPr>
          <w:rFonts w:ascii="標楷體" w:eastAsia="標楷體"/>
          <w:color w:val="000000"/>
        </w:rPr>
        <w:t>中華民國年月日</w:t>
      </w:r>
    </w:p>
    <w:p w:rsidR="007218F3" w:rsidRPr="00B259BF" w:rsidRDefault="007218F3" w:rsidP="00B259BF">
      <w:pPr>
        <w:pStyle w:val="a4"/>
        <w:spacing w:line="360" w:lineRule="auto"/>
        <w:jc w:val="center"/>
        <w:rPr>
          <w:rFonts w:ascii="標楷體" w:eastAsia="標楷體" w:hAnsi="標楷體"/>
          <w:color w:val="000000"/>
        </w:rPr>
      </w:pPr>
    </w:p>
    <w:sectPr w:rsidR="007218F3" w:rsidRPr="00B259BF" w:rsidSect="00F22FB9">
      <w:headerReference w:type="default" r:id="rId9"/>
      <w:footerReference w:type="default" r:id="rId10"/>
      <w:pgSz w:w="11906" w:h="16838"/>
      <w:pgMar w:top="993"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4F3" w:rsidRDefault="002024F3">
      <w:r>
        <w:separator/>
      </w:r>
    </w:p>
  </w:endnote>
  <w:endnote w:type="continuationSeparator" w:id="0">
    <w:p w:rsidR="002024F3" w:rsidRDefault="0020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Default="00F90A78" w:rsidP="00B22561">
    <w:pPr>
      <w:pStyle w:val="a5"/>
      <w:jc w:val="center"/>
    </w:pPr>
    <w:r>
      <w:rPr>
        <w:rStyle w:val="a6"/>
      </w:rPr>
      <w:fldChar w:fldCharType="begin"/>
    </w:r>
    <w:r>
      <w:rPr>
        <w:rStyle w:val="a6"/>
      </w:rPr>
      <w:instrText xml:space="preserve"> PAGE </w:instrText>
    </w:r>
    <w:r>
      <w:rPr>
        <w:rStyle w:val="a6"/>
      </w:rPr>
      <w:fldChar w:fldCharType="separate"/>
    </w:r>
    <w:r w:rsidR="005F2A25">
      <w:rPr>
        <w:rStyle w:val="a6"/>
        <w:noProof/>
      </w:rPr>
      <w:t>1</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4F3" w:rsidRDefault="002024F3">
      <w:r>
        <w:separator/>
      </w:r>
    </w:p>
  </w:footnote>
  <w:footnote w:type="continuationSeparator" w:id="0">
    <w:p w:rsidR="002024F3" w:rsidRDefault="002024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A78" w:rsidRPr="0091439E" w:rsidRDefault="00F90A78" w:rsidP="00523570">
    <w:pPr>
      <w:pStyle w:val="a4"/>
      <w:jc w:val="right"/>
      <w:rPr>
        <w:rFonts w:ascii="標楷體" w:eastAsia="標楷體" w:hAnsi="標楷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7332"/>
    <w:multiLevelType w:val="hybridMultilevel"/>
    <w:tmpl w:val="659217C2"/>
    <w:lvl w:ilvl="0" w:tplc="CA001EC0">
      <w:start w:val="1"/>
      <w:numFmt w:val="taiwaneseCountingThousand"/>
      <w:lvlText w:val="（%1）"/>
      <w:lvlJc w:val="left"/>
      <w:pPr>
        <w:tabs>
          <w:tab w:val="num" w:pos="2171"/>
        </w:tabs>
        <w:ind w:left="2171" w:hanging="720"/>
      </w:pPr>
      <w:rPr>
        <w:rFonts w:hint="eastAsia"/>
        <w:b w:val="0"/>
        <w:i w:val="0"/>
        <w:color w:val="000000"/>
        <w:sz w:val="24"/>
        <w:szCs w:val="24"/>
      </w:rPr>
    </w:lvl>
    <w:lvl w:ilvl="1" w:tplc="04090019">
      <w:start w:val="1"/>
      <w:numFmt w:val="ideographTraditional"/>
      <w:lvlText w:val="%2、"/>
      <w:lvlJc w:val="left"/>
      <w:pPr>
        <w:tabs>
          <w:tab w:val="num" w:pos="1680"/>
        </w:tabs>
        <w:ind w:left="1680" w:hanging="480"/>
      </w:pPr>
    </w:lvl>
    <w:lvl w:ilvl="2" w:tplc="0409001B">
      <w:start w:val="1"/>
      <w:numFmt w:val="lowerRoman"/>
      <w:lvlText w:val="%3."/>
      <w:lvlJc w:val="right"/>
      <w:pPr>
        <w:tabs>
          <w:tab w:val="num" w:pos="2160"/>
        </w:tabs>
        <w:ind w:left="2160" w:hanging="480"/>
      </w:pPr>
    </w:lvl>
    <w:lvl w:ilvl="3" w:tplc="0409000F">
      <w:start w:val="1"/>
      <w:numFmt w:val="decimal"/>
      <w:lvlText w:val="%4."/>
      <w:lvlJc w:val="left"/>
      <w:pPr>
        <w:tabs>
          <w:tab w:val="num" w:pos="2640"/>
        </w:tabs>
        <w:ind w:left="2640" w:hanging="480"/>
      </w:pPr>
      <w:rPr>
        <w:rFonts w:hint="eastAsia"/>
        <w:b w:val="0"/>
        <w:i w:val="0"/>
        <w:color w:val="000000"/>
        <w:sz w:val="20"/>
      </w:r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nsid w:val="0883327E"/>
    <w:multiLevelType w:val="hybridMultilevel"/>
    <w:tmpl w:val="F3A232C4"/>
    <w:lvl w:ilvl="0" w:tplc="88444172">
      <w:start w:val="1"/>
      <w:numFmt w:val="taiwaneseCountingThousand"/>
      <w:lvlText w:val="%1、"/>
      <w:lvlJc w:val="left"/>
      <w:pPr>
        <w:ind w:left="480" w:hanging="480"/>
      </w:pPr>
      <w:rPr>
        <w:rFonts w:ascii="標楷體" w:hAnsi="標楷體" w:cs="標楷體" w:hint="default"/>
        <w:b w:val="0"/>
        <w:i w:val="0"/>
        <w:color w:val="auto"/>
        <w:sz w:val="24"/>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1BF8506E">
      <w:start w:val="1"/>
      <w:numFmt w:val="koreanDigital2"/>
      <w:lvlText w:val="%3、"/>
      <w:lvlJc w:val="left"/>
      <w:pPr>
        <w:tabs>
          <w:tab w:val="num" w:pos="960"/>
        </w:tabs>
        <w:ind w:left="960" w:hanging="480"/>
      </w:pPr>
      <w:rPr>
        <w:rFonts w:hint="eastAsia"/>
        <w:b w:val="0"/>
        <w:i w:val="0"/>
        <w:color w:val="000000"/>
        <w:sz w:val="20"/>
      </w:r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091B1258"/>
    <w:multiLevelType w:val="multilevel"/>
    <w:tmpl w:val="3E62AA92"/>
    <w:lvl w:ilvl="0">
      <w:start w:val="1"/>
      <w:numFmt w:val="taiwaneseCountingThousand"/>
      <w:lvlText w:val="（%1）"/>
      <w:lvlJc w:val="left"/>
      <w:pPr>
        <w:tabs>
          <w:tab w:val="num" w:pos="1200"/>
        </w:tabs>
        <w:ind w:left="1200" w:hanging="720"/>
      </w:pPr>
      <w:rPr>
        <w:rFonts w:hint="eastAsia"/>
        <w:b w:val="0"/>
        <w:i w:val="0"/>
        <w:color w:val="000000"/>
        <w:sz w:val="20"/>
      </w:rPr>
    </w:lvl>
    <w:lvl w:ilvl="1">
      <w:start w:val="1"/>
      <w:numFmt w:val="taiwaneseCountingThousand"/>
      <w:lvlText w:val="%2、"/>
      <w:lvlJc w:val="left"/>
      <w:pPr>
        <w:tabs>
          <w:tab w:val="num" w:pos="960"/>
        </w:tabs>
        <w:ind w:left="960" w:hanging="480"/>
      </w:pPr>
      <w:rPr>
        <w:rFonts w:hint="eastAsia"/>
        <w:b w:val="0"/>
        <w:i w:val="0"/>
        <w:color w:val="0000FF"/>
        <w:sz w:val="2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D982619"/>
    <w:multiLevelType w:val="hybridMultilevel"/>
    <w:tmpl w:val="37AC2094"/>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E231469"/>
    <w:multiLevelType w:val="multilevel"/>
    <w:tmpl w:val="447EE15C"/>
    <w:lvl w:ilvl="0">
      <w:start w:val="1"/>
      <w:numFmt w:val="taiwaneseCountingThousand"/>
      <w:lvlText w:val="%1、"/>
      <w:lvlJc w:val="left"/>
      <w:pPr>
        <w:tabs>
          <w:tab w:val="num" w:pos="480"/>
        </w:tabs>
        <w:ind w:left="480" w:hanging="480"/>
      </w:pPr>
      <w:rPr>
        <w:rFonts w:hint="eastAsia"/>
        <w:b w:val="0"/>
        <w:i w:val="0"/>
        <w:color w:val="0000FF"/>
        <w:sz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16C820C1"/>
    <w:multiLevelType w:val="hybridMultilevel"/>
    <w:tmpl w:val="61C64BE6"/>
    <w:lvl w:ilvl="0" w:tplc="6C9620A2">
      <w:start w:val="3"/>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152A76"/>
    <w:multiLevelType w:val="hybridMultilevel"/>
    <w:tmpl w:val="83ACBC46"/>
    <w:lvl w:ilvl="0" w:tplc="7C2E9610">
      <w:start w:val="1"/>
      <w:numFmt w:val="taiwaneseCountingThousand"/>
      <w:lvlText w:val="%1、"/>
      <w:lvlJc w:val="left"/>
      <w:pPr>
        <w:ind w:left="720" w:hanging="480"/>
      </w:pPr>
      <w:rPr>
        <w:rFonts w:ascii="Times New Roman" w:hAnsi="Times New Roman" w:cs="Times New Roman" w:hint="default"/>
        <w:color w:val="000000"/>
        <w:sz w:val="20"/>
        <w:szCs w:val="2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FD3168"/>
    <w:multiLevelType w:val="hybridMultilevel"/>
    <w:tmpl w:val="A18CEF4C"/>
    <w:lvl w:ilvl="0" w:tplc="F11A3936">
      <w:start w:val="1"/>
      <w:numFmt w:val="taiwaneseCountingThousand"/>
      <w:lvlText w:val="%1、"/>
      <w:lvlJc w:val="left"/>
      <w:pPr>
        <w:tabs>
          <w:tab w:val="num" w:pos="480"/>
        </w:tabs>
        <w:ind w:left="480" w:hanging="480"/>
      </w:pPr>
      <w:rPr>
        <w:rFonts w:hint="eastAsia"/>
        <w:b w:val="0"/>
        <w:i w:val="0"/>
        <w:color w:val="000000"/>
        <w:sz w:val="24"/>
        <w:szCs w:val="24"/>
      </w:rPr>
    </w:lvl>
    <w:lvl w:ilvl="1" w:tplc="04090019">
      <w:start w:val="1"/>
      <w:numFmt w:val="ideographTraditional"/>
      <w:lvlText w:val="%2、"/>
      <w:lvlJc w:val="left"/>
      <w:pPr>
        <w:tabs>
          <w:tab w:val="num" w:pos="480"/>
        </w:tabs>
        <w:ind w:left="480" w:hanging="480"/>
      </w:pPr>
    </w:lvl>
    <w:lvl w:ilvl="2" w:tplc="0409001B">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8">
    <w:nsid w:val="1CA21B82"/>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9">
    <w:nsid w:val="1D4177EF"/>
    <w:multiLevelType w:val="hybridMultilevel"/>
    <w:tmpl w:val="865CF600"/>
    <w:lvl w:ilvl="0" w:tplc="7BFC0E36">
      <w:start w:val="1"/>
      <w:numFmt w:val="taiwaneseCountingThousand"/>
      <w:lvlText w:val="%1、"/>
      <w:lvlJc w:val="left"/>
      <w:pPr>
        <w:tabs>
          <w:tab w:val="num" w:pos="480"/>
        </w:tabs>
        <w:ind w:left="480" w:hanging="480"/>
      </w:pPr>
      <w:rPr>
        <w:rFonts w:hint="eastAsia"/>
        <w:sz w:val="2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4EE7732"/>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8B7BC9"/>
    <w:multiLevelType w:val="hybridMultilevel"/>
    <w:tmpl w:val="435A35F8"/>
    <w:lvl w:ilvl="0" w:tplc="14F8DE94">
      <w:start w:val="1"/>
      <w:numFmt w:val="taiwaneseCountingThousand"/>
      <w:lvlText w:val="%1、"/>
      <w:lvlJc w:val="left"/>
      <w:pPr>
        <w:tabs>
          <w:tab w:val="num" w:pos="480"/>
        </w:tabs>
        <w:ind w:left="480" w:hanging="480"/>
      </w:pPr>
      <w:rPr>
        <w:rFonts w:hint="eastAsia"/>
        <w:b w:val="0"/>
        <w:i w:val="0"/>
        <w:color w:val="0000FF"/>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96666FB"/>
    <w:multiLevelType w:val="hybridMultilevel"/>
    <w:tmpl w:val="54688F68"/>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3">
    <w:nsid w:val="2B272FD7"/>
    <w:multiLevelType w:val="hybridMultilevel"/>
    <w:tmpl w:val="70ACFBBE"/>
    <w:lvl w:ilvl="0" w:tplc="521C5FD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726C47"/>
    <w:multiLevelType w:val="hybridMultilevel"/>
    <w:tmpl w:val="AA16AA60"/>
    <w:lvl w:ilvl="0" w:tplc="7EB43AAE">
      <w:start w:val="1"/>
      <w:numFmt w:val="ideographDigital"/>
      <w:lvlText w:val="%1、"/>
      <w:lvlJc w:val="left"/>
      <w:pPr>
        <w:tabs>
          <w:tab w:val="num" w:pos="360"/>
        </w:tabs>
        <w:ind w:left="360" w:hanging="360"/>
      </w:pPr>
      <w:rPr>
        <w:rFonts w:hint="default"/>
      </w:rPr>
    </w:lvl>
    <w:lvl w:ilvl="1" w:tplc="04090019">
      <w:start w:val="1"/>
      <w:numFmt w:val="ideographTraditional"/>
      <w:lvlText w:val="%2、"/>
      <w:lvlJc w:val="left"/>
      <w:pPr>
        <w:tabs>
          <w:tab w:val="num" w:pos="-240"/>
        </w:tabs>
        <w:ind w:left="-240" w:hanging="480"/>
      </w:pPr>
    </w:lvl>
    <w:lvl w:ilvl="2" w:tplc="0409001B">
      <w:start w:val="1"/>
      <w:numFmt w:val="lowerRoman"/>
      <w:lvlText w:val="%3."/>
      <w:lvlJc w:val="right"/>
      <w:pPr>
        <w:tabs>
          <w:tab w:val="num" w:pos="240"/>
        </w:tabs>
        <w:ind w:left="240" w:hanging="480"/>
      </w:pPr>
    </w:lvl>
    <w:lvl w:ilvl="3" w:tplc="0409000F">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15">
    <w:nsid w:val="32DA1239"/>
    <w:multiLevelType w:val="hybridMultilevel"/>
    <w:tmpl w:val="0A6C435E"/>
    <w:lvl w:ilvl="0" w:tplc="6324C8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34E73C8"/>
    <w:multiLevelType w:val="multilevel"/>
    <w:tmpl w:val="5F62C822"/>
    <w:lvl w:ilvl="0">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start w:val="1"/>
      <w:numFmt w:val="taiwaneseCountingThousand"/>
      <w:lvlText w:val="%2、"/>
      <w:lvlJc w:val="left"/>
      <w:pPr>
        <w:tabs>
          <w:tab w:val="num" w:pos="1200"/>
        </w:tabs>
        <w:ind w:left="1200" w:hanging="480"/>
      </w:pPr>
      <w:rPr>
        <w:rFonts w:hint="eastAsia"/>
        <w:color w:val="000000"/>
        <w:sz w:val="20"/>
        <w:szCs w:val="20"/>
      </w:rPr>
    </w:lvl>
    <w:lvl w:ilvl="2">
      <w:start w:val="1"/>
      <w:numFmt w:val="taiwaneseCountingThousand"/>
      <w:lvlText w:val="（%3）"/>
      <w:lvlJc w:val="left"/>
      <w:pPr>
        <w:tabs>
          <w:tab w:val="num" w:pos="1920"/>
        </w:tabs>
        <w:ind w:left="1920" w:hanging="720"/>
      </w:pPr>
      <w:rPr>
        <w:rFonts w:hint="eastAsia"/>
        <w:b w:val="0"/>
        <w:i w:val="0"/>
        <w:color w:val="000000"/>
        <w:sz w:val="20"/>
        <w:szCs w:val="20"/>
      </w:r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48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480"/>
      </w:pPr>
    </w:lvl>
  </w:abstractNum>
  <w:abstractNum w:abstractNumId="17">
    <w:nsid w:val="3AC848BE"/>
    <w:multiLevelType w:val="hybridMultilevel"/>
    <w:tmpl w:val="A170AF18"/>
    <w:lvl w:ilvl="0" w:tplc="03902BDE">
      <w:start w:val="1"/>
      <w:numFmt w:val="taiwaneseCountingThousand"/>
      <w:lvlText w:val="%1、"/>
      <w:lvlJc w:val="left"/>
      <w:pPr>
        <w:tabs>
          <w:tab w:val="num" w:pos="480"/>
        </w:tabs>
        <w:ind w:left="480" w:hanging="480"/>
      </w:pPr>
      <w:rPr>
        <w:rFonts w:hint="eastAsia"/>
        <w:lang w:val="en-US"/>
      </w:rPr>
    </w:lvl>
    <w:lvl w:ilvl="1" w:tplc="96A25FB8">
      <w:start w:val="1"/>
      <w:numFmt w:val="taiwaneseCountingThousand"/>
      <w:lvlText w:val="（%2）"/>
      <w:lvlJc w:val="left"/>
      <w:pPr>
        <w:tabs>
          <w:tab w:val="num" w:pos="1200"/>
        </w:tabs>
        <w:ind w:left="1200" w:hanging="720"/>
      </w:pPr>
      <w:rPr>
        <w:rFonts w:hint="eastAsia"/>
        <w:b w:val="0"/>
        <w:i w:val="0"/>
        <w:color w:val="000000"/>
        <w:sz w:val="20"/>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BA8500D"/>
    <w:multiLevelType w:val="multilevel"/>
    <w:tmpl w:val="AA16AA60"/>
    <w:lvl w:ilvl="0">
      <w:start w:val="1"/>
      <w:numFmt w:val="ideographDigital"/>
      <w:lvlText w:val="%1、"/>
      <w:lvlJc w:val="left"/>
      <w:pPr>
        <w:tabs>
          <w:tab w:val="num" w:pos="360"/>
        </w:tabs>
        <w:ind w:left="360" w:hanging="360"/>
      </w:pPr>
      <w:rPr>
        <w:rFonts w:hint="default"/>
      </w:rPr>
    </w:lvl>
    <w:lvl w:ilvl="1">
      <w:start w:val="1"/>
      <w:numFmt w:val="ideographTraditional"/>
      <w:lvlText w:val="%2、"/>
      <w:lvlJc w:val="left"/>
      <w:pPr>
        <w:tabs>
          <w:tab w:val="num" w:pos="-240"/>
        </w:tabs>
        <w:ind w:left="-240" w:hanging="480"/>
      </w:pPr>
    </w:lvl>
    <w:lvl w:ilvl="2">
      <w:start w:val="1"/>
      <w:numFmt w:val="lowerRoman"/>
      <w:lvlText w:val="%3."/>
      <w:lvlJc w:val="right"/>
      <w:pPr>
        <w:tabs>
          <w:tab w:val="num" w:pos="240"/>
        </w:tabs>
        <w:ind w:left="240" w:hanging="480"/>
      </w:pPr>
    </w:lvl>
    <w:lvl w:ilvl="3">
      <w:start w:val="1"/>
      <w:numFmt w:val="decimal"/>
      <w:lvlText w:val="%4."/>
      <w:lvlJc w:val="left"/>
      <w:pPr>
        <w:tabs>
          <w:tab w:val="num" w:pos="720"/>
        </w:tabs>
        <w:ind w:left="720" w:hanging="480"/>
      </w:pPr>
    </w:lvl>
    <w:lvl w:ilvl="4">
      <w:start w:val="1"/>
      <w:numFmt w:val="ideographTraditional"/>
      <w:lvlText w:val="%5、"/>
      <w:lvlJc w:val="left"/>
      <w:pPr>
        <w:tabs>
          <w:tab w:val="num" w:pos="1200"/>
        </w:tabs>
        <w:ind w:left="1200" w:hanging="480"/>
      </w:pPr>
    </w:lvl>
    <w:lvl w:ilvl="5">
      <w:start w:val="1"/>
      <w:numFmt w:val="lowerRoman"/>
      <w:lvlText w:val="%6."/>
      <w:lvlJc w:val="right"/>
      <w:pPr>
        <w:tabs>
          <w:tab w:val="num" w:pos="1680"/>
        </w:tabs>
        <w:ind w:left="1680" w:hanging="480"/>
      </w:pPr>
    </w:lvl>
    <w:lvl w:ilvl="6">
      <w:start w:val="1"/>
      <w:numFmt w:val="decimal"/>
      <w:lvlText w:val="%7."/>
      <w:lvlJc w:val="left"/>
      <w:pPr>
        <w:tabs>
          <w:tab w:val="num" w:pos="2160"/>
        </w:tabs>
        <w:ind w:left="2160" w:hanging="480"/>
      </w:pPr>
    </w:lvl>
    <w:lvl w:ilvl="7">
      <w:start w:val="1"/>
      <w:numFmt w:val="ideographTraditional"/>
      <w:lvlText w:val="%8、"/>
      <w:lvlJc w:val="left"/>
      <w:pPr>
        <w:tabs>
          <w:tab w:val="num" w:pos="2640"/>
        </w:tabs>
        <w:ind w:left="2640" w:hanging="480"/>
      </w:pPr>
    </w:lvl>
    <w:lvl w:ilvl="8">
      <w:start w:val="1"/>
      <w:numFmt w:val="lowerRoman"/>
      <w:lvlText w:val="%9."/>
      <w:lvlJc w:val="right"/>
      <w:pPr>
        <w:tabs>
          <w:tab w:val="num" w:pos="3120"/>
        </w:tabs>
        <w:ind w:left="3120" w:hanging="480"/>
      </w:pPr>
    </w:lvl>
  </w:abstractNum>
  <w:abstractNum w:abstractNumId="19">
    <w:nsid w:val="3C9C6578"/>
    <w:multiLevelType w:val="multilevel"/>
    <w:tmpl w:val="01FA200E"/>
    <w:lvl w:ilvl="0">
      <w:start w:val="1"/>
      <w:numFmt w:val="taiwaneseCountingThousand"/>
      <w:lvlText w:val="（%1）"/>
      <w:lvlJc w:val="left"/>
      <w:pPr>
        <w:tabs>
          <w:tab w:val="num" w:pos="1920"/>
        </w:tabs>
        <w:ind w:left="1920" w:hanging="720"/>
      </w:pPr>
      <w:rPr>
        <w:rFonts w:hint="eastAsia"/>
        <w:b w:val="0"/>
        <w:i w:val="0"/>
        <w:color w:val="000000"/>
        <w:sz w:val="20"/>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rPr>
        <w:rFonts w:hint="eastAsia"/>
        <w:b w:val="0"/>
        <w:i w:val="0"/>
        <w:color w:val="000000"/>
        <w:sz w:val="20"/>
      </w:r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20">
    <w:nsid w:val="41BD24E5"/>
    <w:multiLevelType w:val="hybridMultilevel"/>
    <w:tmpl w:val="AAC49180"/>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40544D7"/>
    <w:multiLevelType w:val="hybridMultilevel"/>
    <w:tmpl w:val="CDACC76C"/>
    <w:lvl w:ilvl="0" w:tplc="AC5CD43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6837EF"/>
    <w:multiLevelType w:val="hybridMultilevel"/>
    <w:tmpl w:val="D6421BD8"/>
    <w:lvl w:ilvl="0" w:tplc="780CF9E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A363027"/>
    <w:multiLevelType w:val="hybridMultilevel"/>
    <w:tmpl w:val="EDEC02E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C3A200C"/>
    <w:multiLevelType w:val="hybridMultilevel"/>
    <w:tmpl w:val="D026F670"/>
    <w:lvl w:ilvl="0" w:tplc="0409000F">
      <w:start w:val="1"/>
      <w:numFmt w:val="decimal"/>
      <w:lvlText w:val="%1."/>
      <w:lvlJc w:val="left"/>
      <w:pPr>
        <w:tabs>
          <w:tab w:val="num" w:pos="480"/>
        </w:tabs>
        <w:ind w:left="480" w:hanging="480"/>
      </w:pPr>
      <w:rPr>
        <w:rFonts w:hint="eastAsia"/>
        <w:sz w:val="20"/>
        <w:szCs w:val="20"/>
      </w:rPr>
    </w:lvl>
    <w:lvl w:ilvl="1" w:tplc="951001CE">
      <w:start w:val="1"/>
      <w:numFmt w:val="decimal"/>
      <w:lvlText w:val="(%2)"/>
      <w:lvlJc w:val="left"/>
      <w:pPr>
        <w:tabs>
          <w:tab w:val="num" w:pos="480"/>
        </w:tabs>
        <w:ind w:left="480" w:hanging="480"/>
      </w:pPr>
      <w:rPr>
        <w:rFonts w:hint="eastAsia"/>
        <w:sz w:val="20"/>
        <w:szCs w:val="2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0D11E52"/>
    <w:multiLevelType w:val="hybridMultilevel"/>
    <w:tmpl w:val="5A26D038"/>
    <w:lvl w:ilvl="0" w:tplc="56EE6D7A">
      <w:start w:val="3"/>
      <w:numFmt w:val="taiwaneseCountingThousand"/>
      <w:lvlText w:val="（%1）"/>
      <w:lvlJc w:val="left"/>
      <w:pPr>
        <w:ind w:left="720" w:hanging="720"/>
      </w:pPr>
      <w:rPr>
        <w:rFonts w:hint="default"/>
        <w:color w:val="00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4214535"/>
    <w:multiLevelType w:val="hybridMultilevel"/>
    <w:tmpl w:val="D562BCB6"/>
    <w:lvl w:ilvl="0" w:tplc="445266AA">
      <w:start w:val="1"/>
      <w:numFmt w:val="taiwaneseCountingThousand"/>
      <w:lvlText w:val="%1、"/>
      <w:lvlJc w:val="left"/>
      <w:pPr>
        <w:tabs>
          <w:tab w:val="num" w:pos="480"/>
        </w:tabs>
        <w:ind w:left="480" w:hanging="480"/>
      </w:pPr>
      <w:rPr>
        <w:rFonts w:hint="eastAsia"/>
        <w:b w:val="0"/>
        <w:i w:val="0"/>
        <w:color w:val="000000"/>
        <w:sz w:val="24"/>
        <w:szCs w:val="24"/>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7">
    <w:nsid w:val="55E6257E"/>
    <w:multiLevelType w:val="multilevel"/>
    <w:tmpl w:val="3548572C"/>
    <w:lvl w:ilvl="0">
      <w:start w:val="1"/>
      <w:numFmt w:val="taiwaneseCountingThousand"/>
      <w:lvlText w:val="%1、"/>
      <w:lvlJc w:val="left"/>
      <w:pPr>
        <w:tabs>
          <w:tab w:val="num" w:pos="480"/>
        </w:tabs>
        <w:ind w:left="480" w:hanging="480"/>
      </w:pPr>
      <w:rPr>
        <w:rFonts w:hint="eastAsia"/>
        <w:b w:val="0"/>
        <w:i w:val="0"/>
        <w:color w:val="000000"/>
        <w:sz w:val="20"/>
      </w:rPr>
    </w:lvl>
    <w:lvl w:ilvl="1">
      <w:start w:val="1"/>
      <w:numFmt w:val="ideographTraditional"/>
      <w:lvlText w:val="%2、"/>
      <w:lvlJc w:val="left"/>
      <w:pPr>
        <w:tabs>
          <w:tab w:val="num" w:pos="480"/>
        </w:tabs>
        <w:ind w:left="480" w:hanging="480"/>
      </w:p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28">
    <w:nsid w:val="561A6B08"/>
    <w:multiLevelType w:val="hybridMultilevel"/>
    <w:tmpl w:val="02EC6D7E"/>
    <w:lvl w:ilvl="0" w:tplc="4DD443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05035B"/>
    <w:multiLevelType w:val="multilevel"/>
    <w:tmpl w:val="9A30C202"/>
    <w:lvl w:ilvl="0">
      <w:start w:val="1"/>
      <w:numFmt w:val="decimal"/>
      <w:lvlText w:val="%1."/>
      <w:lvlJc w:val="left"/>
      <w:pPr>
        <w:tabs>
          <w:tab w:val="num" w:pos="480"/>
        </w:tabs>
        <w:ind w:left="480" w:hanging="480"/>
      </w:pPr>
      <w:rPr>
        <w:rFonts w:hint="eastAsia"/>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60334758"/>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1">
    <w:nsid w:val="62813201"/>
    <w:multiLevelType w:val="hybridMultilevel"/>
    <w:tmpl w:val="CB5AB682"/>
    <w:lvl w:ilvl="0" w:tplc="48E015D2">
      <w:start w:val="1"/>
      <w:numFmt w:val="ideographDigit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2">
    <w:nsid w:val="661F72CC"/>
    <w:multiLevelType w:val="hybridMultilevel"/>
    <w:tmpl w:val="BE1CB3BC"/>
    <w:lvl w:ilvl="0" w:tplc="1A2A1EC4">
      <w:start w:val="1"/>
      <w:numFmt w:val="taiwaneseCountingThousand"/>
      <w:lvlText w:val="（%1）"/>
      <w:lvlJc w:val="left"/>
      <w:pPr>
        <w:tabs>
          <w:tab w:val="num" w:pos="1200"/>
        </w:tabs>
        <w:ind w:left="1200" w:hanging="720"/>
      </w:pPr>
      <w:rPr>
        <w:rFonts w:hint="eastAsia"/>
        <w:b w:val="0"/>
        <w:i w:val="0"/>
        <w:color w:val="000000"/>
        <w:sz w:val="20"/>
      </w:rPr>
    </w:lvl>
    <w:lvl w:ilvl="1" w:tplc="7BFC0E36">
      <w:start w:val="1"/>
      <w:numFmt w:val="taiwaneseCountingThousand"/>
      <w:lvlText w:val="%2、"/>
      <w:lvlJc w:val="left"/>
      <w:pPr>
        <w:tabs>
          <w:tab w:val="num" w:pos="960"/>
        </w:tabs>
        <w:ind w:left="960" w:hanging="480"/>
      </w:pPr>
      <w:rPr>
        <w:rFonts w:hint="eastAsia"/>
        <w:b w:val="0"/>
        <w:i w:val="0"/>
        <w:color w:val="0000FF"/>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DEA0529"/>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4">
    <w:nsid w:val="6F8343FD"/>
    <w:multiLevelType w:val="hybridMultilevel"/>
    <w:tmpl w:val="215C43B6"/>
    <w:lvl w:ilvl="0" w:tplc="7EB43AAE">
      <w:start w:val="1"/>
      <w:numFmt w:val="ideographDigit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240"/>
        </w:tabs>
        <w:ind w:left="240" w:hanging="480"/>
      </w:pPr>
    </w:lvl>
    <w:lvl w:ilvl="3" w:tplc="0409000F" w:tentative="1">
      <w:start w:val="1"/>
      <w:numFmt w:val="decimal"/>
      <w:lvlText w:val="%4."/>
      <w:lvlJc w:val="left"/>
      <w:pPr>
        <w:tabs>
          <w:tab w:val="num" w:pos="720"/>
        </w:tabs>
        <w:ind w:left="720" w:hanging="480"/>
      </w:pPr>
    </w:lvl>
    <w:lvl w:ilvl="4" w:tplc="04090019" w:tentative="1">
      <w:start w:val="1"/>
      <w:numFmt w:val="ideographTraditional"/>
      <w:lvlText w:val="%5、"/>
      <w:lvlJc w:val="left"/>
      <w:pPr>
        <w:tabs>
          <w:tab w:val="num" w:pos="1200"/>
        </w:tabs>
        <w:ind w:left="1200" w:hanging="480"/>
      </w:pPr>
    </w:lvl>
    <w:lvl w:ilvl="5" w:tplc="0409001B" w:tentative="1">
      <w:start w:val="1"/>
      <w:numFmt w:val="lowerRoman"/>
      <w:lvlText w:val="%6."/>
      <w:lvlJc w:val="right"/>
      <w:pPr>
        <w:tabs>
          <w:tab w:val="num" w:pos="1680"/>
        </w:tabs>
        <w:ind w:left="1680" w:hanging="480"/>
      </w:pPr>
    </w:lvl>
    <w:lvl w:ilvl="6" w:tplc="0409000F" w:tentative="1">
      <w:start w:val="1"/>
      <w:numFmt w:val="decimal"/>
      <w:lvlText w:val="%7."/>
      <w:lvlJc w:val="left"/>
      <w:pPr>
        <w:tabs>
          <w:tab w:val="num" w:pos="2160"/>
        </w:tabs>
        <w:ind w:left="2160" w:hanging="480"/>
      </w:pPr>
    </w:lvl>
    <w:lvl w:ilvl="7" w:tplc="04090019" w:tentative="1">
      <w:start w:val="1"/>
      <w:numFmt w:val="ideographTraditional"/>
      <w:lvlText w:val="%8、"/>
      <w:lvlJc w:val="left"/>
      <w:pPr>
        <w:tabs>
          <w:tab w:val="num" w:pos="2640"/>
        </w:tabs>
        <w:ind w:left="2640" w:hanging="480"/>
      </w:pPr>
    </w:lvl>
    <w:lvl w:ilvl="8" w:tplc="0409001B" w:tentative="1">
      <w:start w:val="1"/>
      <w:numFmt w:val="lowerRoman"/>
      <w:lvlText w:val="%9."/>
      <w:lvlJc w:val="right"/>
      <w:pPr>
        <w:tabs>
          <w:tab w:val="num" w:pos="3120"/>
        </w:tabs>
        <w:ind w:left="3120" w:hanging="480"/>
      </w:pPr>
    </w:lvl>
  </w:abstractNum>
  <w:abstractNum w:abstractNumId="35">
    <w:nsid w:val="71F524A8"/>
    <w:multiLevelType w:val="hybridMultilevel"/>
    <w:tmpl w:val="2AA45534"/>
    <w:lvl w:ilvl="0" w:tplc="7EB43AAE">
      <w:start w:val="1"/>
      <w:numFmt w:val="ideographDigital"/>
      <w:lvlText w:val="%1、"/>
      <w:lvlJc w:val="left"/>
      <w:pPr>
        <w:tabs>
          <w:tab w:val="num" w:pos="360"/>
        </w:tabs>
        <w:ind w:left="360" w:hanging="360"/>
      </w:pPr>
      <w:rPr>
        <w:rFonts w:hint="default"/>
        <w:b w:val="0"/>
        <w:i w:val="0"/>
        <w:color w:val="000000"/>
        <w:sz w:val="20"/>
      </w:rPr>
    </w:lvl>
    <w:lvl w:ilvl="1" w:tplc="7BD2A402">
      <w:start w:val="1"/>
      <w:numFmt w:val="taiwaneseCountingThousand"/>
      <w:lvlText w:val="（%2）"/>
      <w:lvlJc w:val="left"/>
      <w:pPr>
        <w:tabs>
          <w:tab w:val="num" w:pos="720"/>
        </w:tabs>
        <w:ind w:left="720" w:hanging="720"/>
      </w:pPr>
      <w:rPr>
        <w:rFonts w:hint="eastAsia"/>
        <w:b w:val="0"/>
        <w:i w:val="0"/>
        <w:color w:val="0000FF"/>
        <w:sz w:val="20"/>
      </w:rPr>
    </w:lvl>
    <w:lvl w:ilvl="2" w:tplc="0409001B">
      <w:start w:val="1"/>
      <w:numFmt w:val="lowerRoman"/>
      <w:lvlText w:val="%3."/>
      <w:lvlJc w:val="right"/>
      <w:pPr>
        <w:tabs>
          <w:tab w:val="num" w:pos="960"/>
        </w:tabs>
        <w:ind w:left="960" w:hanging="480"/>
      </w:pPr>
    </w:lvl>
    <w:lvl w:ilvl="3" w:tplc="0409000F">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6">
    <w:nsid w:val="744B2708"/>
    <w:multiLevelType w:val="hybridMultilevel"/>
    <w:tmpl w:val="141CCF2E"/>
    <w:lvl w:ilvl="0" w:tplc="7EB43AAE">
      <w:start w:val="1"/>
      <w:numFmt w:val="ideographDigital"/>
      <w:lvlText w:val="%1、"/>
      <w:lvlJc w:val="left"/>
      <w:pPr>
        <w:tabs>
          <w:tab w:val="num" w:pos="840"/>
        </w:tabs>
        <w:ind w:left="840" w:hanging="360"/>
      </w:pPr>
      <w:rPr>
        <w:rFonts w:hint="default"/>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64337B6"/>
    <w:multiLevelType w:val="multilevel"/>
    <w:tmpl w:val="6B24C51C"/>
    <w:lvl w:ilvl="0">
      <w:start w:val="1"/>
      <w:numFmt w:val="koreanDigital2"/>
      <w:lvlText w:val="%1、"/>
      <w:lvlJc w:val="left"/>
      <w:pPr>
        <w:tabs>
          <w:tab w:val="num" w:pos="480"/>
        </w:tabs>
        <w:ind w:left="480" w:hanging="480"/>
      </w:pPr>
      <w:rPr>
        <w:rFonts w:hint="eastAsia"/>
        <w:b w:val="0"/>
        <w:i w:val="0"/>
        <w:color w:val="000000"/>
        <w:sz w:val="20"/>
      </w:rPr>
    </w:lvl>
    <w:lvl w:ilvl="1">
      <w:start w:val="1"/>
      <w:numFmt w:val="taiwaneseCountingThousand"/>
      <w:lvlText w:val="（%2）"/>
      <w:lvlJc w:val="left"/>
      <w:pPr>
        <w:tabs>
          <w:tab w:val="num" w:pos="720"/>
        </w:tabs>
        <w:ind w:left="720" w:hanging="720"/>
      </w:pPr>
      <w:rPr>
        <w:rFonts w:hint="eastAsia"/>
        <w:b w:val="0"/>
        <w:i w:val="0"/>
        <w:color w:val="0000FF"/>
        <w:sz w:val="20"/>
      </w:rPr>
    </w:lvl>
    <w:lvl w:ilvl="2">
      <w:start w:val="1"/>
      <w:numFmt w:val="lowerRoman"/>
      <w:lvlText w:val="%3."/>
      <w:lvlJc w:val="right"/>
      <w:pPr>
        <w:tabs>
          <w:tab w:val="num" w:pos="960"/>
        </w:tabs>
        <w:ind w:left="960" w:hanging="480"/>
      </w:pPr>
    </w:lvl>
    <w:lvl w:ilvl="3">
      <w:start w:val="1"/>
      <w:numFmt w:val="decimal"/>
      <w:lvlText w:val="%4."/>
      <w:lvlJc w:val="left"/>
      <w:pPr>
        <w:tabs>
          <w:tab w:val="num" w:pos="1440"/>
        </w:tabs>
        <w:ind w:left="1440" w:hanging="480"/>
      </w:pPr>
    </w:lvl>
    <w:lvl w:ilvl="4">
      <w:start w:val="1"/>
      <w:numFmt w:val="ideographTraditional"/>
      <w:lvlText w:val="%5、"/>
      <w:lvlJc w:val="left"/>
      <w:pPr>
        <w:tabs>
          <w:tab w:val="num" w:pos="1920"/>
        </w:tabs>
        <w:ind w:left="1920" w:hanging="480"/>
      </w:pPr>
    </w:lvl>
    <w:lvl w:ilvl="5">
      <w:start w:val="1"/>
      <w:numFmt w:val="lowerRoman"/>
      <w:lvlText w:val="%6."/>
      <w:lvlJc w:val="right"/>
      <w:pPr>
        <w:tabs>
          <w:tab w:val="num" w:pos="2400"/>
        </w:tabs>
        <w:ind w:left="2400" w:hanging="480"/>
      </w:pPr>
    </w:lvl>
    <w:lvl w:ilvl="6">
      <w:start w:val="1"/>
      <w:numFmt w:val="decimal"/>
      <w:lvlText w:val="%7."/>
      <w:lvlJc w:val="left"/>
      <w:pPr>
        <w:tabs>
          <w:tab w:val="num" w:pos="2880"/>
        </w:tabs>
        <w:ind w:left="2880" w:hanging="480"/>
      </w:pPr>
    </w:lvl>
    <w:lvl w:ilvl="7">
      <w:start w:val="1"/>
      <w:numFmt w:val="ideographTraditional"/>
      <w:lvlText w:val="%8、"/>
      <w:lvlJc w:val="left"/>
      <w:pPr>
        <w:tabs>
          <w:tab w:val="num" w:pos="3360"/>
        </w:tabs>
        <w:ind w:left="3360" w:hanging="480"/>
      </w:pPr>
    </w:lvl>
    <w:lvl w:ilvl="8">
      <w:start w:val="1"/>
      <w:numFmt w:val="lowerRoman"/>
      <w:lvlText w:val="%9."/>
      <w:lvlJc w:val="right"/>
      <w:pPr>
        <w:tabs>
          <w:tab w:val="num" w:pos="3840"/>
        </w:tabs>
        <w:ind w:left="3840" w:hanging="480"/>
      </w:pPr>
    </w:lvl>
  </w:abstractNum>
  <w:abstractNum w:abstractNumId="38">
    <w:nsid w:val="789A07EB"/>
    <w:multiLevelType w:val="hybridMultilevel"/>
    <w:tmpl w:val="427AAA80"/>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224AF426">
      <w:start w:val="1"/>
      <w:numFmt w:val="taiwaneseCountingThousand"/>
      <w:lvlText w:val="%2、"/>
      <w:lvlJc w:val="left"/>
      <w:pPr>
        <w:tabs>
          <w:tab w:val="num" w:pos="1200"/>
        </w:tabs>
        <w:ind w:left="1200" w:hanging="480"/>
      </w:pPr>
      <w:rPr>
        <w:rFonts w:hint="eastAsia"/>
        <w:color w:val="000000"/>
        <w:sz w:val="24"/>
        <w:szCs w:val="24"/>
      </w:rPr>
    </w:lvl>
    <w:lvl w:ilvl="2" w:tplc="92F650E2">
      <w:start w:val="1"/>
      <w:numFmt w:val="taiwaneseCountingThousand"/>
      <w:lvlText w:val="（%3）"/>
      <w:lvlJc w:val="left"/>
      <w:pPr>
        <w:tabs>
          <w:tab w:val="num" w:pos="1920"/>
        </w:tabs>
        <w:ind w:left="1920" w:hanging="720"/>
      </w:pPr>
      <w:rPr>
        <w:rFonts w:hint="eastAsia"/>
        <w:b w:val="0"/>
        <w:i w:val="0"/>
        <w:color w:val="000000"/>
        <w:sz w:val="24"/>
        <w:szCs w:val="24"/>
      </w:rPr>
    </w:lvl>
    <w:lvl w:ilvl="3" w:tplc="0409000F">
      <w:start w:val="1"/>
      <w:numFmt w:val="decimal"/>
      <w:lvlText w:val="%4."/>
      <w:lvlJc w:val="left"/>
      <w:pPr>
        <w:tabs>
          <w:tab w:val="num" w:pos="2160"/>
        </w:tabs>
        <w:ind w:left="2160" w:hanging="480"/>
      </w:pPr>
      <w:rPr>
        <w:rFonts w:hint="default"/>
        <w:color w:val="000000"/>
        <w:sz w:val="20"/>
        <w:szCs w:val="20"/>
      </w:r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39">
    <w:nsid w:val="7A166FDE"/>
    <w:multiLevelType w:val="hybridMultilevel"/>
    <w:tmpl w:val="EE68916A"/>
    <w:lvl w:ilvl="0" w:tplc="FC20F8C2">
      <w:start w:val="1"/>
      <w:numFmt w:val="taiwaneseCountingThousand"/>
      <w:lvlText w:val="第%1條"/>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DA61490"/>
    <w:multiLevelType w:val="hybridMultilevel"/>
    <w:tmpl w:val="22C0778A"/>
    <w:lvl w:ilvl="0" w:tplc="626C51FC">
      <w:start w:val="1"/>
      <w:numFmt w:val="taiwaneseCountingThousand"/>
      <w:lvlText w:val="(%1)"/>
      <w:lvlJc w:val="left"/>
      <w:pPr>
        <w:tabs>
          <w:tab w:val="num" w:pos="240"/>
        </w:tabs>
        <w:ind w:left="960" w:hanging="480"/>
      </w:pPr>
      <w:rPr>
        <w:rFonts w:ascii="Times New Roman" w:hAnsi="Times New Roman" w:cs="Times New Roman" w:hint="default"/>
        <w:color w:val="000000"/>
        <w:sz w:val="20"/>
        <w:szCs w:val="20"/>
      </w:rPr>
    </w:lvl>
    <w:lvl w:ilvl="1" w:tplc="7EB43AAE">
      <w:start w:val="1"/>
      <w:numFmt w:val="ideographDigital"/>
      <w:lvlText w:val="%2、"/>
      <w:lvlJc w:val="left"/>
      <w:pPr>
        <w:tabs>
          <w:tab w:val="num" w:pos="840"/>
        </w:tabs>
        <w:ind w:left="840" w:hanging="360"/>
      </w:pPr>
      <w:rPr>
        <w:rFonts w:hint="default"/>
        <w:color w:val="000000"/>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9"/>
  </w:num>
  <w:num w:numId="3">
    <w:abstractNumId w:val="35"/>
  </w:num>
  <w:num w:numId="4">
    <w:abstractNumId w:val="32"/>
  </w:num>
  <w:num w:numId="5">
    <w:abstractNumId w:val="6"/>
  </w:num>
  <w:num w:numId="6">
    <w:abstractNumId w:val="38"/>
  </w:num>
  <w:num w:numId="7">
    <w:abstractNumId w:val="7"/>
  </w:num>
  <w:num w:numId="8">
    <w:abstractNumId w:val="0"/>
  </w:num>
  <w:num w:numId="9">
    <w:abstractNumId w:val="26"/>
  </w:num>
  <w:num w:numId="10">
    <w:abstractNumId w:val="1"/>
  </w:num>
  <w:num w:numId="11">
    <w:abstractNumId w:val="23"/>
  </w:num>
  <w:num w:numId="12">
    <w:abstractNumId w:val="27"/>
  </w:num>
  <w:num w:numId="13">
    <w:abstractNumId w:val="19"/>
  </w:num>
  <w:num w:numId="14">
    <w:abstractNumId w:val="34"/>
  </w:num>
  <w:num w:numId="15">
    <w:abstractNumId w:val="8"/>
  </w:num>
  <w:num w:numId="16">
    <w:abstractNumId w:val="3"/>
  </w:num>
  <w:num w:numId="17">
    <w:abstractNumId w:val="17"/>
  </w:num>
  <w:num w:numId="18">
    <w:abstractNumId w:val="16"/>
  </w:num>
  <w:num w:numId="19">
    <w:abstractNumId w:val="40"/>
  </w:num>
  <w:num w:numId="20">
    <w:abstractNumId w:val="30"/>
  </w:num>
  <w:num w:numId="21">
    <w:abstractNumId w:val="37"/>
  </w:num>
  <w:num w:numId="22">
    <w:abstractNumId w:val="33"/>
  </w:num>
  <w:num w:numId="23">
    <w:abstractNumId w:val="14"/>
  </w:num>
  <w:num w:numId="24">
    <w:abstractNumId w:val="12"/>
  </w:num>
  <w:num w:numId="25">
    <w:abstractNumId w:val="2"/>
  </w:num>
  <w:num w:numId="26">
    <w:abstractNumId w:val="18"/>
  </w:num>
  <w:num w:numId="27">
    <w:abstractNumId w:val="20"/>
  </w:num>
  <w:num w:numId="28">
    <w:abstractNumId w:val="29"/>
  </w:num>
  <w:num w:numId="29">
    <w:abstractNumId w:val="4"/>
  </w:num>
  <w:num w:numId="30">
    <w:abstractNumId w:val="11"/>
  </w:num>
  <w:num w:numId="31">
    <w:abstractNumId w:val="31"/>
  </w:num>
  <w:num w:numId="32">
    <w:abstractNumId w:val="13"/>
  </w:num>
  <w:num w:numId="33">
    <w:abstractNumId w:val="36"/>
  </w:num>
  <w:num w:numId="34">
    <w:abstractNumId w:val="21"/>
  </w:num>
  <w:num w:numId="35">
    <w:abstractNumId w:val="28"/>
  </w:num>
  <w:num w:numId="36">
    <w:abstractNumId w:val="25"/>
  </w:num>
  <w:num w:numId="37">
    <w:abstractNumId w:val="15"/>
  </w:num>
  <w:num w:numId="38">
    <w:abstractNumId w:val="39"/>
  </w:num>
  <w:num w:numId="39">
    <w:abstractNumId w:val="5"/>
  </w:num>
  <w:num w:numId="40">
    <w:abstractNumId w:val="1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81"/>
    <w:rsid w:val="00001AFA"/>
    <w:rsid w:val="0000367E"/>
    <w:rsid w:val="00004C48"/>
    <w:rsid w:val="000071D0"/>
    <w:rsid w:val="00013C56"/>
    <w:rsid w:val="0001698E"/>
    <w:rsid w:val="000177D0"/>
    <w:rsid w:val="00017FD2"/>
    <w:rsid w:val="00023B0C"/>
    <w:rsid w:val="0002604C"/>
    <w:rsid w:val="000272A9"/>
    <w:rsid w:val="00030982"/>
    <w:rsid w:val="0003143C"/>
    <w:rsid w:val="0003708F"/>
    <w:rsid w:val="000522BB"/>
    <w:rsid w:val="00057C02"/>
    <w:rsid w:val="0006328F"/>
    <w:rsid w:val="0007254F"/>
    <w:rsid w:val="00075AB1"/>
    <w:rsid w:val="0008238D"/>
    <w:rsid w:val="00083C69"/>
    <w:rsid w:val="000849B5"/>
    <w:rsid w:val="00086CEF"/>
    <w:rsid w:val="00087B7B"/>
    <w:rsid w:val="00094A44"/>
    <w:rsid w:val="00094F86"/>
    <w:rsid w:val="000A3030"/>
    <w:rsid w:val="000A5BD3"/>
    <w:rsid w:val="000B2BD7"/>
    <w:rsid w:val="000C1F16"/>
    <w:rsid w:val="000C42C9"/>
    <w:rsid w:val="000D0398"/>
    <w:rsid w:val="000D3C37"/>
    <w:rsid w:val="000D7A51"/>
    <w:rsid w:val="000E034D"/>
    <w:rsid w:val="000E2DC4"/>
    <w:rsid w:val="000E47FB"/>
    <w:rsid w:val="000F3ADA"/>
    <w:rsid w:val="000F4B9F"/>
    <w:rsid w:val="000F521F"/>
    <w:rsid w:val="0010146F"/>
    <w:rsid w:val="00101E91"/>
    <w:rsid w:val="00102643"/>
    <w:rsid w:val="00103004"/>
    <w:rsid w:val="00104782"/>
    <w:rsid w:val="001057B4"/>
    <w:rsid w:val="00115356"/>
    <w:rsid w:val="00127773"/>
    <w:rsid w:val="00131D5F"/>
    <w:rsid w:val="00132079"/>
    <w:rsid w:val="001346BF"/>
    <w:rsid w:val="00136159"/>
    <w:rsid w:val="001403C9"/>
    <w:rsid w:val="00142C5C"/>
    <w:rsid w:val="00155B57"/>
    <w:rsid w:val="00155F9A"/>
    <w:rsid w:val="00160692"/>
    <w:rsid w:val="0016609C"/>
    <w:rsid w:val="00172583"/>
    <w:rsid w:val="001733EF"/>
    <w:rsid w:val="00180A96"/>
    <w:rsid w:val="00181996"/>
    <w:rsid w:val="001854BD"/>
    <w:rsid w:val="001924D6"/>
    <w:rsid w:val="00194F25"/>
    <w:rsid w:val="001962F3"/>
    <w:rsid w:val="00197463"/>
    <w:rsid w:val="001A5492"/>
    <w:rsid w:val="001A6323"/>
    <w:rsid w:val="001A75D7"/>
    <w:rsid w:val="001B102D"/>
    <w:rsid w:val="001B7EEE"/>
    <w:rsid w:val="001C38F4"/>
    <w:rsid w:val="001C7B01"/>
    <w:rsid w:val="001D0D9F"/>
    <w:rsid w:val="001E4080"/>
    <w:rsid w:val="001F28A5"/>
    <w:rsid w:val="001F7E9F"/>
    <w:rsid w:val="002024F3"/>
    <w:rsid w:val="00207AD9"/>
    <w:rsid w:val="00207C99"/>
    <w:rsid w:val="002118DC"/>
    <w:rsid w:val="00214009"/>
    <w:rsid w:val="00216D7D"/>
    <w:rsid w:val="00226297"/>
    <w:rsid w:val="002346E5"/>
    <w:rsid w:val="00236B9C"/>
    <w:rsid w:val="00241EB0"/>
    <w:rsid w:val="00243B4F"/>
    <w:rsid w:val="002441AF"/>
    <w:rsid w:val="002500A5"/>
    <w:rsid w:val="00253388"/>
    <w:rsid w:val="00261647"/>
    <w:rsid w:val="00262E0C"/>
    <w:rsid w:val="00270934"/>
    <w:rsid w:val="00271689"/>
    <w:rsid w:val="00272F95"/>
    <w:rsid w:val="00274F77"/>
    <w:rsid w:val="00280E56"/>
    <w:rsid w:val="002831D8"/>
    <w:rsid w:val="00285B62"/>
    <w:rsid w:val="00285FC2"/>
    <w:rsid w:val="0028741A"/>
    <w:rsid w:val="0029029C"/>
    <w:rsid w:val="00293097"/>
    <w:rsid w:val="00293742"/>
    <w:rsid w:val="002965B2"/>
    <w:rsid w:val="002A05B4"/>
    <w:rsid w:val="002A342F"/>
    <w:rsid w:val="002A3B2A"/>
    <w:rsid w:val="002B2854"/>
    <w:rsid w:val="002B3547"/>
    <w:rsid w:val="002B69A4"/>
    <w:rsid w:val="002B7638"/>
    <w:rsid w:val="002C6AA6"/>
    <w:rsid w:val="002C7179"/>
    <w:rsid w:val="002D072C"/>
    <w:rsid w:val="002D3CDB"/>
    <w:rsid w:val="002D7AFD"/>
    <w:rsid w:val="002E3A3B"/>
    <w:rsid w:val="002E4F6F"/>
    <w:rsid w:val="002E7931"/>
    <w:rsid w:val="002F2F44"/>
    <w:rsid w:val="002F5B4D"/>
    <w:rsid w:val="0031621C"/>
    <w:rsid w:val="00330783"/>
    <w:rsid w:val="00333DF5"/>
    <w:rsid w:val="00334C60"/>
    <w:rsid w:val="003359EE"/>
    <w:rsid w:val="00336141"/>
    <w:rsid w:val="00336206"/>
    <w:rsid w:val="00350D2B"/>
    <w:rsid w:val="00352398"/>
    <w:rsid w:val="00355137"/>
    <w:rsid w:val="00355B3E"/>
    <w:rsid w:val="00375353"/>
    <w:rsid w:val="00377655"/>
    <w:rsid w:val="00380C87"/>
    <w:rsid w:val="00380E2C"/>
    <w:rsid w:val="0038397E"/>
    <w:rsid w:val="003847B7"/>
    <w:rsid w:val="00386705"/>
    <w:rsid w:val="00391AA8"/>
    <w:rsid w:val="00392686"/>
    <w:rsid w:val="003926AD"/>
    <w:rsid w:val="003938F3"/>
    <w:rsid w:val="00394CB3"/>
    <w:rsid w:val="00395500"/>
    <w:rsid w:val="003A6D77"/>
    <w:rsid w:val="003B4D2F"/>
    <w:rsid w:val="003B6362"/>
    <w:rsid w:val="003C5AD6"/>
    <w:rsid w:val="003D295F"/>
    <w:rsid w:val="003E0F2F"/>
    <w:rsid w:val="003E6CAA"/>
    <w:rsid w:val="003F040A"/>
    <w:rsid w:val="003F4989"/>
    <w:rsid w:val="0041304D"/>
    <w:rsid w:val="00413B29"/>
    <w:rsid w:val="00420025"/>
    <w:rsid w:val="00424193"/>
    <w:rsid w:val="00424B00"/>
    <w:rsid w:val="00431647"/>
    <w:rsid w:val="0043495B"/>
    <w:rsid w:val="00436FEE"/>
    <w:rsid w:val="0044396C"/>
    <w:rsid w:val="004456F6"/>
    <w:rsid w:val="00445BFE"/>
    <w:rsid w:val="004535B0"/>
    <w:rsid w:val="004536FC"/>
    <w:rsid w:val="004577AF"/>
    <w:rsid w:val="004648C6"/>
    <w:rsid w:val="00473079"/>
    <w:rsid w:val="004752E9"/>
    <w:rsid w:val="00475C15"/>
    <w:rsid w:val="00476A5A"/>
    <w:rsid w:val="004818AB"/>
    <w:rsid w:val="00483448"/>
    <w:rsid w:val="004938FC"/>
    <w:rsid w:val="00493F5B"/>
    <w:rsid w:val="004B345D"/>
    <w:rsid w:val="004C2FCF"/>
    <w:rsid w:val="004D76E8"/>
    <w:rsid w:val="004E6A03"/>
    <w:rsid w:val="004F275A"/>
    <w:rsid w:val="004F4F1A"/>
    <w:rsid w:val="005004A7"/>
    <w:rsid w:val="005053F2"/>
    <w:rsid w:val="00505D2C"/>
    <w:rsid w:val="00512889"/>
    <w:rsid w:val="00513409"/>
    <w:rsid w:val="005206A9"/>
    <w:rsid w:val="00521B0F"/>
    <w:rsid w:val="00523570"/>
    <w:rsid w:val="00531245"/>
    <w:rsid w:val="00533D2E"/>
    <w:rsid w:val="005355C5"/>
    <w:rsid w:val="00544B48"/>
    <w:rsid w:val="00544C81"/>
    <w:rsid w:val="005462C5"/>
    <w:rsid w:val="005473D7"/>
    <w:rsid w:val="00553EAA"/>
    <w:rsid w:val="00562285"/>
    <w:rsid w:val="00567911"/>
    <w:rsid w:val="00571F4C"/>
    <w:rsid w:val="005810E0"/>
    <w:rsid w:val="00581CE6"/>
    <w:rsid w:val="00581CEB"/>
    <w:rsid w:val="00585794"/>
    <w:rsid w:val="0059104A"/>
    <w:rsid w:val="005920E4"/>
    <w:rsid w:val="005926A4"/>
    <w:rsid w:val="00594B0C"/>
    <w:rsid w:val="00597240"/>
    <w:rsid w:val="0059765A"/>
    <w:rsid w:val="005A14AA"/>
    <w:rsid w:val="005A6E6D"/>
    <w:rsid w:val="005A77E8"/>
    <w:rsid w:val="005C0C4B"/>
    <w:rsid w:val="005C2E6F"/>
    <w:rsid w:val="005C3A3E"/>
    <w:rsid w:val="005C43B7"/>
    <w:rsid w:val="005D1998"/>
    <w:rsid w:val="005D7AF0"/>
    <w:rsid w:val="005E0AE1"/>
    <w:rsid w:val="005E1719"/>
    <w:rsid w:val="005E760A"/>
    <w:rsid w:val="005F0E97"/>
    <w:rsid w:val="005F2A25"/>
    <w:rsid w:val="005F2AD4"/>
    <w:rsid w:val="005F38DD"/>
    <w:rsid w:val="005F4674"/>
    <w:rsid w:val="005F6D08"/>
    <w:rsid w:val="006007FD"/>
    <w:rsid w:val="006058B5"/>
    <w:rsid w:val="00617A7E"/>
    <w:rsid w:val="006209EB"/>
    <w:rsid w:val="00622C9B"/>
    <w:rsid w:val="00626B35"/>
    <w:rsid w:val="00627468"/>
    <w:rsid w:val="00630C06"/>
    <w:rsid w:val="00634711"/>
    <w:rsid w:val="00637281"/>
    <w:rsid w:val="00643E5D"/>
    <w:rsid w:val="006467FF"/>
    <w:rsid w:val="00661427"/>
    <w:rsid w:val="00664401"/>
    <w:rsid w:val="0066751C"/>
    <w:rsid w:val="00667962"/>
    <w:rsid w:val="0067359E"/>
    <w:rsid w:val="00683839"/>
    <w:rsid w:val="00686C4D"/>
    <w:rsid w:val="00690EB1"/>
    <w:rsid w:val="006931EF"/>
    <w:rsid w:val="006A04BB"/>
    <w:rsid w:val="006A33C3"/>
    <w:rsid w:val="006A3571"/>
    <w:rsid w:val="006A4845"/>
    <w:rsid w:val="006B0538"/>
    <w:rsid w:val="006B2339"/>
    <w:rsid w:val="006C0E89"/>
    <w:rsid w:val="006C2680"/>
    <w:rsid w:val="006D2944"/>
    <w:rsid w:val="006D31CF"/>
    <w:rsid w:val="006E6D38"/>
    <w:rsid w:val="006F157B"/>
    <w:rsid w:val="006F22DE"/>
    <w:rsid w:val="006F4BDF"/>
    <w:rsid w:val="00700C29"/>
    <w:rsid w:val="00700EE7"/>
    <w:rsid w:val="0071040D"/>
    <w:rsid w:val="00716301"/>
    <w:rsid w:val="007218F3"/>
    <w:rsid w:val="00725D93"/>
    <w:rsid w:val="0072675B"/>
    <w:rsid w:val="00736343"/>
    <w:rsid w:val="0073643C"/>
    <w:rsid w:val="00736DD0"/>
    <w:rsid w:val="0073795C"/>
    <w:rsid w:val="00744976"/>
    <w:rsid w:val="00746541"/>
    <w:rsid w:val="00747632"/>
    <w:rsid w:val="00750A85"/>
    <w:rsid w:val="00751557"/>
    <w:rsid w:val="00757170"/>
    <w:rsid w:val="00761725"/>
    <w:rsid w:val="00761AE6"/>
    <w:rsid w:val="00762194"/>
    <w:rsid w:val="0076451F"/>
    <w:rsid w:val="00767636"/>
    <w:rsid w:val="00772035"/>
    <w:rsid w:val="007732EE"/>
    <w:rsid w:val="007750F8"/>
    <w:rsid w:val="00775506"/>
    <w:rsid w:val="007777E0"/>
    <w:rsid w:val="00780F2D"/>
    <w:rsid w:val="0078584B"/>
    <w:rsid w:val="007862E3"/>
    <w:rsid w:val="0078630A"/>
    <w:rsid w:val="00787EF7"/>
    <w:rsid w:val="00793A2B"/>
    <w:rsid w:val="00797CC6"/>
    <w:rsid w:val="007A19E1"/>
    <w:rsid w:val="007A5003"/>
    <w:rsid w:val="007A70F9"/>
    <w:rsid w:val="007B1A95"/>
    <w:rsid w:val="007B5B22"/>
    <w:rsid w:val="007C5DC0"/>
    <w:rsid w:val="007D7305"/>
    <w:rsid w:val="007E04EA"/>
    <w:rsid w:val="007E0A4B"/>
    <w:rsid w:val="007E0EFA"/>
    <w:rsid w:val="007E6B88"/>
    <w:rsid w:val="007E6C0C"/>
    <w:rsid w:val="007F4DB8"/>
    <w:rsid w:val="00802434"/>
    <w:rsid w:val="00815821"/>
    <w:rsid w:val="008162D0"/>
    <w:rsid w:val="00822C79"/>
    <w:rsid w:val="00823121"/>
    <w:rsid w:val="00824782"/>
    <w:rsid w:val="00836C5A"/>
    <w:rsid w:val="008374B6"/>
    <w:rsid w:val="0084186B"/>
    <w:rsid w:val="00846696"/>
    <w:rsid w:val="008475E2"/>
    <w:rsid w:val="008555D8"/>
    <w:rsid w:val="00863BF0"/>
    <w:rsid w:val="00865EF9"/>
    <w:rsid w:val="0087200A"/>
    <w:rsid w:val="00874321"/>
    <w:rsid w:val="0087787B"/>
    <w:rsid w:val="00892CC2"/>
    <w:rsid w:val="0089319F"/>
    <w:rsid w:val="00896FD3"/>
    <w:rsid w:val="008A26AF"/>
    <w:rsid w:val="008B51F1"/>
    <w:rsid w:val="008C7180"/>
    <w:rsid w:val="008C7F22"/>
    <w:rsid w:val="008D000A"/>
    <w:rsid w:val="008D01C0"/>
    <w:rsid w:val="008D0BDC"/>
    <w:rsid w:val="008D12F5"/>
    <w:rsid w:val="008D72E0"/>
    <w:rsid w:val="008E0231"/>
    <w:rsid w:val="008E2089"/>
    <w:rsid w:val="008E3493"/>
    <w:rsid w:val="008F0FE2"/>
    <w:rsid w:val="008F1D50"/>
    <w:rsid w:val="008F40DB"/>
    <w:rsid w:val="0091439E"/>
    <w:rsid w:val="00915AC3"/>
    <w:rsid w:val="00921B33"/>
    <w:rsid w:val="0092440D"/>
    <w:rsid w:val="009327B9"/>
    <w:rsid w:val="00936345"/>
    <w:rsid w:val="00940879"/>
    <w:rsid w:val="00940F57"/>
    <w:rsid w:val="00950E87"/>
    <w:rsid w:val="00951BDD"/>
    <w:rsid w:val="00953F32"/>
    <w:rsid w:val="00953FB9"/>
    <w:rsid w:val="00965CFC"/>
    <w:rsid w:val="009742A7"/>
    <w:rsid w:val="0097483C"/>
    <w:rsid w:val="009748E1"/>
    <w:rsid w:val="00976948"/>
    <w:rsid w:val="00981086"/>
    <w:rsid w:val="00983DD5"/>
    <w:rsid w:val="00983F07"/>
    <w:rsid w:val="00983F4A"/>
    <w:rsid w:val="00984493"/>
    <w:rsid w:val="009945A2"/>
    <w:rsid w:val="00995424"/>
    <w:rsid w:val="009A41FB"/>
    <w:rsid w:val="009A71B9"/>
    <w:rsid w:val="009A77C0"/>
    <w:rsid w:val="009D3D2F"/>
    <w:rsid w:val="009E21A1"/>
    <w:rsid w:val="009E6783"/>
    <w:rsid w:val="00A02B28"/>
    <w:rsid w:val="00A0618E"/>
    <w:rsid w:val="00A069F7"/>
    <w:rsid w:val="00A117D6"/>
    <w:rsid w:val="00A11DAC"/>
    <w:rsid w:val="00A21B43"/>
    <w:rsid w:val="00A2255E"/>
    <w:rsid w:val="00A329BB"/>
    <w:rsid w:val="00A33B5E"/>
    <w:rsid w:val="00A34084"/>
    <w:rsid w:val="00A410CC"/>
    <w:rsid w:val="00A41FB4"/>
    <w:rsid w:val="00A46D5D"/>
    <w:rsid w:val="00A5195F"/>
    <w:rsid w:val="00A568F8"/>
    <w:rsid w:val="00A72F27"/>
    <w:rsid w:val="00A73552"/>
    <w:rsid w:val="00A81894"/>
    <w:rsid w:val="00A8622F"/>
    <w:rsid w:val="00A87467"/>
    <w:rsid w:val="00A9308B"/>
    <w:rsid w:val="00A972F4"/>
    <w:rsid w:val="00AA12AD"/>
    <w:rsid w:val="00AA257D"/>
    <w:rsid w:val="00AA2FC6"/>
    <w:rsid w:val="00AA47CB"/>
    <w:rsid w:val="00AA5B59"/>
    <w:rsid w:val="00AA6B23"/>
    <w:rsid w:val="00AB2AF9"/>
    <w:rsid w:val="00AB778C"/>
    <w:rsid w:val="00AC42B4"/>
    <w:rsid w:val="00AD1752"/>
    <w:rsid w:val="00AD1754"/>
    <w:rsid w:val="00AD1780"/>
    <w:rsid w:val="00AD2A43"/>
    <w:rsid w:val="00AD48FC"/>
    <w:rsid w:val="00AD5004"/>
    <w:rsid w:val="00AD6FBE"/>
    <w:rsid w:val="00AE53D9"/>
    <w:rsid w:val="00AE56C0"/>
    <w:rsid w:val="00AF03EC"/>
    <w:rsid w:val="00AF2CBF"/>
    <w:rsid w:val="00B1084E"/>
    <w:rsid w:val="00B12125"/>
    <w:rsid w:val="00B13B22"/>
    <w:rsid w:val="00B21E4B"/>
    <w:rsid w:val="00B22561"/>
    <w:rsid w:val="00B23739"/>
    <w:rsid w:val="00B259BF"/>
    <w:rsid w:val="00B32258"/>
    <w:rsid w:val="00B35E75"/>
    <w:rsid w:val="00B4008C"/>
    <w:rsid w:val="00B473E4"/>
    <w:rsid w:val="00B512D4"/>
    <w:rsid w:val="00B52B84"/>
    <w:rsid w:val="00B73C8F"/>
    <w:rsid w:val="00B7538D"/>
    <w:rsid w:val="00B857AC"/>
    <w:rsid w:val="00B96504"/>
    <w:rsid w:val="00BA144A"/>
    <w:rsid w:val="00BA1C2D"/>
    <w:rsid w:val="00BA48DD"/>
    <w:rsid w:val="00BB2B28"/>
    <w:rsid w:val="00BB5C0E"/>
    <w:rsid w:val="00BC5339"/>
    <w:rsid w:val="00BC6430"/>
    <w:rsid w:val="00BC7845"/>
    <w:rsid w:val="00BD0BF2"/>
    <w:rsid w:val="00BD1825"/>
    <w:rsid w:val="00BE179F"/>
    <w:rsid w:val="00BE33D9"/>
    <w:rsid w:val="00BE7933"/>
    <w:rsid w:val="00BF07DF"/>
    <w:rsid w:val="00BF4CCE"/>
    <w:rsid w:val="00BF659D"/>
    <w:rsid w:val="00C02C0D"/>
    <w:rsid w:val="00C15050"/>
    <w:rsid w:val="00C2470A"/>
    <w:rsid w:val="00C278A0"/>
    <w:rsid w:val="00C341E5"/>
    <w:rsid w:val="00C35687"/>
    <w:rsid w:val="00C403FA"/>
    <w:rsid w:val="00C424B5"/>
    <w:rsid w:val="00C474C6"/>
    <w:rsid w:val="00C569E1"/>
    <w:rsid w:val="00C73230"/>
    <w:rsid w:val="00C7566E"/>
    <w:rsid w:val="00C80FFA"/>
    <w:rsid w:val="00C8176F"/>
    <w:rsid w:val="00C82316"/>
    <w:rsid w:val="00C85447"/>
    <w:rsid w:val="00C917BB"/>
    <w:rsid w:val="00C93DEF"/>
    <w:rsid w:val="00CA431A"/>
    <w:rsid w:val="00CB618F"/>
    <w:rsid w:val="00CC0F85"/>
    <w:rsid w:val="00CC31F4"/>
    <w:rsid w:val="00CC58F7"/>
    <w:rsid w:val="00CD1375"/>
    <w:rsid w:val="00CD25D0"/>
    <w:rsid w:val="00CD280E"/>
    <w:rsid w:val="00CD5B8F"/>
    <w:rsid w:val="00CE13EA"/>
    <w:rsid w:val="00CE174C"/>
    <w:rsid w:val="00CF0F96"/>
    <w:rsid w:val="00CF2DDC"/>
    <w:rsid w:val="00D005C0"/>
    <w:rsid w:val="00D02B72"/>
    <w:rsid w:val="00D05F6A"/>
    <w:rsid w:val="00D07181"/>
    <w:rsid w:val="00D10C41"/>
    <w:rsid w:val="00D13E14"/>
    <w:rsid w:val="00D1504C"/>
    <w:rsid w:val="00D278C2"/>
    <w:rsid w:val="00D32466"/>
    <w:rsid w:val="00D340CC"/>
    <w:rsid w:val="00D35575"/>
    <w:rsid w:val="00D40DED"/>
    <w:rsid w:val="00D44152"/>
    <w:rsid w:val="00D517AA"/>
    <w:rsid w:val="00D52A47"/>
    <w:rsid w:val="00D56B47"/>
    <w:rsid w:val="00D61832"/>
    <w:rsid w:val="00D6213B"/>
    <w:rsid w:val="00D64D58"/>
    <w:rsid w:val="00D72529"/>
    <w:rsid w:val="00D81BDF"/>
    <w:rsid w:val="00D8327E"/>
    <w:rsid w:val="00D90E8B"/>
    <w:rsid w:val="00D92227"/>
    <w:rsid w:val="00D95397"/>
    <w:rsid w:val="00DA0210"/>
    <w:rsid w:val="00DA4349"/>
    <w:rsid w:val="00DA74E0"/>
    <w:rsid w:val="00DA7719"/>
    <w:rsid w:val="00DB14DF"/>
    <w:rsid w:val="00DC33A7"/>
    <w:rsid w:val="00DC68C1"/>
    <w:rsid w:val="00DD42DB"/>
    <w:rsid w:val="00DE3D14"/>
    <w:rsid w:val="00DE4367"/>
    <w:rsid w:val="00DE4B01"/>
    <w:rsid w:val="00DF023A"/>
    <w:rsid w:val="00DF7105"/>
    <w:rsid w:val="00E06665"/>
    <w:rsid w:val="00E0689F"/>
    <w:rsid w:val="00E1513C"/>
    <w:rsid w:val="00E1558F"/>
    <w:rsid w:val="00E17D6F"/>
    <w:rsid w:val="00E206EB"/>
    <w:rsid w:val="00E236D7"/>
    <w:rsid w:val="00E2403D"/>
    <w:rsid w:val="00E2440C"/>
    <w:rsid w:val="00E3110B"/>
    <w:rsid w:val="00E339DC"/>
    <w:rsid w:val="00E43310"/>
    <w:rsid w:val="00E43407"/>
    <w:rsid w:val="00E44B45"/>
    <w:rsid w:val="00E5563E"/>
    <w:rsid w:val="00E55C76"/>
    <w:rsid w:val="00E56854"/>
    <w:rsid w:val="00E60CF4"/>
    <w:rsid w:val="00E63A31"/>
    <w:rsid w:val="00E6440A"/>
    <w:rsid w:val="00E66C04"/>
    <w:rsid w:val="00E71E00"/>
    <w:rsid w:val="00E72886"/>
    <w:rsid w:val="00E751D0"/>
    <w:rsid w:val="00E814F7"/>
    <w:rsid w:val="00E81861"/>
    <w:rsid w:val="00E81C65"/>
    <w:rsid w:val="00E86329"/>
    <w:rsid w:val="00E8758D"/>
    <w:rsid w:val="00E90BC7"/>
    <w:rsid w:val="00E93B19"/>
    <w:rsid w:val="00EA5A21"/>
    <w:rsid w:val="00EB19E9"/>
    <w:rsid w:val="00EC612F"/>
    <w:rsid w:val="00EC73A0"/>
    <w:rsid w:val="00EE0B81"/>
    <w:rsid w:val="00EE1C76"/>
    <w:rsid w:val="00EE74CA"/>
    <w:rsid w:val="00F03C52"/>
    <w:rsid w:val="00F074E2"/>
    <w:rsid w:val="00F1697A"/>
    <w:rsid w:val="00F226AD"/>
    <w:rsid w:val="00F22FB9"/>
    <w:rsid w:val="00F32D40"/>
    <w:rsid w:val="00F4075B"/>
    <w:rsid w:val="00F43FB0"/>
    <w:rsid w:val="00F459AF"/>
    <w:rsid w:val="00F459ED"/>
    <w:rsid w:val="00F46EB3"/>
    <w:rsid w:val="00F50C0D"/>
    <w:rsid w:val="00F51533"/>
    <w:rsid w:val="00F5382C"/>
    <w:rsid w:val="00F55CDB"/>
    <w:rsid w:val="00F6128D"/>
    <w:rsid w:val="00F64CCA"/>
    <w:rsid w:val="00F66A2A"/>
    <w:rsid w:val="00F70A58"/>
    <w:rsid w:val="00F70DB2"/>
    <w:rsid w:val="00F718F8"/>
    <w:rsid w:val="00F71B4B"/>
    <w:rsid w:val="00F74F31"/>
    <w:rsid w:val="00F75F97"/>
    <w:rsid w:val="00F7697A"/>
    <w:rsid w:val="00F80C5E"/>
    <w:rsid w:val="00F83A26"/>
    <w:rsid w:val="00F90A78"/>
    <w:rsid w:val="00F96555"/>
    <w:rsid w:val="00FA2FA5"/>
    <w:rsid w:val="00FA5D1E"/>
    <w:rsid w:val="00FC082F"/>
    <w:rsid w:val="00FE025B"/>
    <w:rsid w:val="00FE20B2"/>
    <w:rsid w:val="00FE3452"/>
    <w:rsid w:val="00FE757B"/>
    <w:rsid w:val="00FE77DD"/>
    <w:rsid w:val="00FE7B34"/>
    <w:rsid w:val="00FE7E70"/>
    <w:rsid w:val="00FF0B70"/>
    <w:rsid w:val="00FF2F7C"/>
    <w:rsid w:val="00FF3708"/>
    <w:rsid w:val="00FF41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4C8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544C81"/>
    <w:pPr>
      <w:tabs>
        <w:tab w:val="center" w:pos="4153"/>
        <w:tab w:val="right" w:pos="8306"/>
      </w:tabs>
      <w:snapToGrid w:val="0"/>
    </w:pPr>
    <w:rPr>
      <w:sz w:val="20"/>
      <w:szCs w:val="20"/>
    </w:rPr>
  </w:style>
  <w:style w:type="paragraph" w:styleId="a5">
    <w:name w:val="footer"/>
    <w:basedOn w:val="a"/>
    <w:rsid w:val="00544C81"/>
    <w:pPr>
      <w:tabs>
        <w:tab w:val="center" w:pos="4153"/>
        <w:tab w:val="right" w:pos="8306"/>
      </w:tabs>
      <w:snapToGrid w:val="0"/>
    </w:pPr>
    <w:rPr>
      <w:sz w:val="20"/>
      <w:szCs w:val="20"/>
    </w:rPr>
  </w:style>
  <w:style w:type="paragraph" w:styleId="HTML">
    <w:name w:val="HTML Preformatted"/>
    <w:basedOn w:val="a"/>
    <w:rsid w:val="006931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styleId="a6">
    <w:name w:val="page number"/>
    <w:basedOn w:val="a0"/>
    <w:rsid w:val="00023B0C"/>
  </w:style>
  <w:style w:type="paragraph" w:styleId="a7">
    <w:name w:val="Balloon Text"/>
    <w:basedOn w:val="a"/>
    <w:semiHidden/>
    <w:rsid w:val="00802434"/>
    <w:rPr>
      <w:rFonts w:ascii="Arial" w:hAnsi="Arial"/>
      <w:sz w:val="18"/>
      <w:szCs w:val="18"/>
    </w:rPr>
  </w:style>
  <w:style w:type="paragraph" w:customStyle="1" w:styleId="1">
    <w:name w:val="清單段落1"/>
    <w:basedOn w:val="a"/>
    <w:rsid w:val="009E6783"/>
    <w:pPr>
      <w:ind w:leftChars="200" w:left="480"/>
    </w:pPr>
    <w:rPr>
      <w:rFonts w:ascii="Calibri" w:hAnsi="Calibri"/>
      <w:szCs w:val="22"/>
    </w:rPr>
  </w:style>
  <w:style w:type="paragraph" w:customStyle="1" w:styleId="-1">
    <w:name w:val="內文-1"/>
    <w:basedOn w:val="a"/>
    <w:rsid w:val="00A81894"/>
    <w:pPr>
      <w:spacing w:beforeLines="50" w:afterLines="50"/>
      <w:jc w:val="both"/>
    </w:pPr>
    <w:rPr>
      <w:rFonts w:ascii="標楷體" w:eastAsia="標楷體" w:hAnsi="標楷體" w:cs="Arial"/>
      <w:snapToGrid w:val="0"/>
      <w:kern w:val="0"/>
      <w:sz w:val="27"/>
      <w:szCs w:val="26"/>
    </w:rPr>
  </w:style>
  <w:style w:type="paragraph" w:customStyle="1" w:styleId="a8">
    <w:name w:val="一、"/>
    <w:basedOn w:val="a"/>
    <w:rsid w:val="00797CC6"/>
    <w:pPr>
      <w:spacing w:beforeLines="50" w:afterLines="50"/>
      <w:ind w:left="567" w:hanging="567"/>
      <w:jc w:val="both"/>
    </w:pPr>
    <w:rPr>
      <w:rFonts w:ascii="Arial" w:eastAsia="標楷體" w:hAnsi="Arial" w:cs="Arial"/>
      <w:snapToGrid w:val="0"/>
      <w:kern w:val="0"/>
      <w:sz w:val="27"/>
      <w:szCs w:val="27"/>
    </w:rPr>
  </w:style>
  <w:style w:type="paragraph" w:styleId="a9">
    <w:name w:val="List Paragraph"/>
    <w:basedOn w:val="a"/>
    <w:uiPriority w:val="34"/>
    <w:qFormat/>
    <w:rsid w:val="00261647"/>
    <w:pPr>
      <w:ind w:leftChars="200" w:left="480"/>
    </w:pPr>
  </w:style>
  <w:style w:type="paragraph" w:styleId="aa">
    <w:name w:val="Date"/>
    <w:basedOn w:val="a"/>
    <w:next w:val="a"/>
    <w:link w:val="ab"/>
    <w:rsid w:val="00F22FB9"/>
    <w:pPr>
      <w:jc w:val="right"/>
    </w:pPr>
  </w:style>
  <w:style w:type="character" w:customStyle="1" w:styleId="ab">
    <w:name w:val="日期 字元"/>
    <w:basedOn w:val="a0"/>
    <w:link w:val="aa"/>
    <w:rsid w:val="00F22FB9"/>
    <w:rPr>
      <w:kern w:val="2"/>
      <w:sz w:val="24"/>
      <w:szCs w:val="24"/>
    </w:rPr>
  </w:style>
  <w:style w:type="paragraph" w:customStyle="1" w:styleId="Default">
    <w:name w:val="Default"/>
    <w:rsid w:val="00380C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DFE0B-C3AA-48DC-B6F9-D9071CDD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810</Words>
  <Characters>4619</Characters>
  <Application>Microsoft Office Word</Application>
  <DocSecurity>0</DocSecurity>
  <Lines>38</Lines>
  <Paragraphs>10</Paragraphs>
  <ScaleCrop>false</ScaleCrop>
  <Company>futures</Company>
  <LinksUpToDate>false</LinksUpToDate>
  <CharactersWithSpaces>5419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條號</dc:title>
  <dc:creator>kitty</dc:creator>
  <cp:lastModifiedBy>林惠蘭</cp:lastModifiedBy>
  <cp:revision>7</cp:revision>
  <cp:lastPrinted>2017-03-16T06:01:00Z</cp:lastPrinted>
  <dcterms:created xsi:type="dcterms:W3CDTF">2017-04-24T03:15:00Z</dcterms:created>
  <dcterms:modified xsi:type="dcterms:W3CDTF">2017-05-05T08:50:00Z</dcterms:modified>
</cp:coreProperties>
</file>