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759" w:rsidRPr="00D3043D" w:rsidRDefault="00A56759" w:rsidP="00A56759">
      <w:pPr>
        <w:spacing w:afterLines="50" w:after="180" w:line="480" w:lineRule="exact"/>
        <w:jc w:val="center"/>
        <w:rPr>
          <w:rFonts w:ascii="標楷體" w:hAnsi="標楷體"/>
          <w:bCs/>
          <w:sz w:val="32"/>
          <w:szCs w:val="40"/>
        </w:rPr>
      </w:pPr>
      <w:r w:rsidRPr="00D3043D">
        <w:rPr>
          <w:rFonts w:ascii="標楷體" w:hAnsi="標楷體" w:hint="eastAsia"/>
          <w:bCs/>
          <w:sz w:val="32"/>
          <w:szCs w:val="40"/>
        </w:rPr>
        <w:t>「期貨信託基金月報檢查表」修正對照表</w:t>
      </w:r>
      <w:r>
        <w:rPr>
          <w:rFonts w:ascii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4497E5" wp14:editId="12840FD9">
                <wp:simplePos x="0" y="0"/>
                <wp:positionH relativeFrom="column">
                  <wp:posOffset>9248775</wp:posOffset>
                </wp:positionH>
                <wp:positionV relativeFrom="paragraph">
                  <wp:posOffset>-29210</wp:posOffset>
                </wp:positionV>
                <wp:extent cx="800100" cy="342900"/>
                <wp:effectExtent l="0" t="0" r="0" b="0"/>
                <wp:wrapNone/>
                <wp:docPr id="151" name="文字方塊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759" w:rsidRPr="00665374" w:rsidRDefault="00A56759" w:rsidP="00A56759">
                            <w:pPr>
                              <w:spacing w:line="340" w:lineRule="exact"/>
                              <w:rPr>
                                <w:spacing w:val="20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4497E5" id="_x0000_t202" coordsize="21600,21600" o:spt="202" path="m,l,21600r21600,l21600,xe">
                <v:stroke joinstyle="miter"/>
                <v:path gradientshapeok="t" o:connecttype="rect"/>
              </v:shapetype>
              <v:shape id="文字方塊 151" o:spid="_x0000_s1026" type="#_x0000_t202" style="position:absolute;left:0;text-align:left;margin-left:728.25pt;margin-top:-2.3pt;width:63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" filled="f" stroked="f">
                <v:textbox>
                  <w:txbxContent>
                    <w:p w:rsidR="00A56759" w:rsidRPr="00665374" w:rsidRDefault="00A56759" w:rsidP="00A56759">
                      <w:pPr>
                        <w:spacing w:line="340" w:lineRule="exact"/>
                        <w:rPr>
                          <w:spacing w:val="20"/>
                        </w:rPr>
                      </w:pPr>
                      <w:r>
                        <w:rPr>
                          <w:rFonts w:hint="eastAsia"/>
                          <w:spacing w:val="2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60C1C9" wp14:editId="6DF72092">
                <wp:simplePos x="0" y="0"/>
                <wp:positionH relativeFrom="column">
                  <wp:posOffset>9096375</wp:posOffset>
                </wp:positionH>
                <wp:positionV relativeFrom="paragraph">
                  <wp:posOffset>-181610</wp:posOffset>
                </wp:positionV>
                <wp:extent cx="800100" cy="342900"/>
                <wp:effectExtent l="0" t="0" r="0" b="0"/>
                <wp:wrapNone/>
                <wp:docPr id="143" name="文字方塊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759" w:rsidRPr="00665374" w:rsidRDefault="00A56759" w:rsidP="00A56759">
                            <w:pPr>
                              <w:spacing w:line="340" w:lineRule="exact"/>
                              <w:rPr>
                                <w:spacing w:val="20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0C1C9" id="文字方塊 143" o:spid="_x0000_s1027" type="#_x0000_t202" style="position:absolute;left:0;text-align:left;margin-left:716.25pt;margin-top:-14.3pt;width:63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" filled="f" stroked="f">
                <v:textbox>
                  <w:txbxContent>
                    <w:p w:rsidR="00A56759" w:rsidRPr="00665374" w:rsidRDefault="00A56759" w:rsidP="00A56759">
                      <w:pPr>
                        <w:spacing w:line="340" w:lineRule="exact"/>
                        <w:rPr>
                          <w:spacing w:val="20"/>
                        </w:rPr>
                      </w:pPr>
                      <w:r>
                        <w:rPr>
                          <w:rFonts w:hint="eastAsia"/>
                          <w:spacing w:val="2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97840" wp14:editId="4C7708CA">
                <wp:simplePos x="0" y="0"/>
                <wp:positionH relativeFrom="column">
                  <wp:posOffset>8943975</wp:posOffset>
                </wp:positionH>
                <wp:positionV relativeFrom="paragraph">
                  <wp:posOffset>-334010</wp:posOffset>
                </wp:positionV>
                <wp:extent cx="800100" cy="342900"/>
                <wp:effectExtent l="0" t="0" r="0" b="0"/>
                <wp:wrapNone/>
                <wp:docPr id="25" name="文字方塊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759" w:rsidRPr="00665374" w:rsidRDefault="00A56759" w:rsidP="00A56759">
                            <w:pPr>
                              <w:spacing w:line="340" w:lineRule="exact"/>
                              <w:rPr>
                                <w:spacing w:val="20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97840" id="文字方塊 25" o:spid="_x0000_s1028" type="#_x0000_t202" style="position:absolute;left:0;text-align:left;margin-left:704.25pt;margin-top:-26.3pt;width:6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" filled="f" stroked="f">
                <v:textbox>
                  <w:txbxContent>
                    <w:p w:rsidR="00A56759" w:rsidRPr="00665374" w:rsidRDefault="00A56759" w:rsidP="00A56759">
                      <w:pPr>
                        <w:spacing w:line="340" w:lineRule="exact"/>
                        <w:rPr>
                          <w:spacing w:val="20"/>
                        </w:rPr>
                      </w:pPr>
                      <w:r>
                        <w:rPr>
                          <w:rFonts w:hint="eastAsia"/>
                          <w:spacing w:val="2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532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9"/>
        <w:gridCol w:w="3980"/>
        <w:gridCol w:w="2291"/>
      </w:tblGrid>
      <w:tr w:rsidR="00A56759" w:rsidRPr="003C6691" w:rsidTr="00D8494B">
        <w:trPr>
          <w:trHeight w:val="340"/>
          <w:tblHeader/>
        </w:trPr>
        <w:tc>
          <w:tcPr>
            <w:tcW w:w="1823" w:type="pct"/>
            <w:vAlign w:val="center"/>
          </w:tcPr>
          <w:p w:rsidR="00A56759" w:rsidRPr="003C6691" w:rsidRDefault="00A56759" w:rsidP="00D849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3C6691">
              <w:rPr>
                <w:rFonts w:ascii="標楷體" w:hAnsi="標楷體" w:hint="eastAsia"/>
                <w:szCs w:val="28"/>
              </w:rPr>
              <w:t>修 正 規 定</w:t>
            </w:r>
          </w:p>
        </w:tc>
        <w:tc>
          <w:tcPr>
            <w:tcW w:w="1825" w:type="pct"/>
            <w:vAlign w:val="center"/>
          </w:tcPr>
          <w:p w:rsidR="00A56759" w:rsidRPr="003C6691" w:rsidRDefault="00A56759" w:rsidP="00D8494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3C6691">
              <w:rPr>
                <w:rFonts w:ascii="標楷體" w:hAnsi="標楷體" w:hint="eastAsia"/>
                <w:szCs w:val="28"/>
              </w:rPr>
              <w:t>現 行 規 定</w:t>
            </w:r>
          </w:p>
        </w:tc>
        <w:tc>
          <w:tcPr>
            <w:tcW w:w="1352" w:type="pct"/>
            <w:vAlign w:val="center"/>
          </w:tcPr>
          <w:p w:rsidR="00A56759" w:rsidRPr="003C6691" w:rsidRDefault="00A56759" w:rsidP="00D8494B">
            <w:pPr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3C6691">
              <w:rPr>
                <w:rFonts w:ascii="標楷體" w:hAnsi="標楷體" w:hint="eastAsia"/>
                <w:szCs w:val="28"/>
              </w:rPr>
              <w:t>說    明</w:t>
            </w:r>
          </w:p>
        </w:tc>
      </w:tr>
      <w:tr w:rsidR="00A56759" w:rsidRPr="003C6691" w:rsidTr="00D8494B">
        <w:trPr>
          <w:trHeight w:val="1003"/>
        </w:trPr>
        <w:tc>
          <w:tcPr>
            <w:tcW w:w="1823" w:type="pct"/>
          </w:tcPr>
          <w:p w:rsidR="00A56759" w:rsidRPr="0048212C" w:rsidRDefault="00A56759" w:rsidP="00D8494B">
            <w:pPr>
              <w:spacing w:line="400" w:lineRule="exact"/>
              <w:rPr>
                <w:rFonts w:ascii="標楷體" w:hAnsi="標楷體"/>
                <w:bCs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bCs/>
                <w:sz w:val="24"/>
                <w:szCs w:val="24"/>
              </w:rPr>
              <w:t>壹、檢</w:t>
            </w:r>
            <w:r w:rsidRPr="0048212C">
              <w:rPr>
                <w:rFonts w:ascii="標楷體" w:hAnsi="標楷體"/>
                <w:bCs/>
                <w:sz w:val="24"/>
                <w:szCs w:val="24"/>
              </w:rPr>
              <w:t>查項目</w:t>
            </w:r>
            <w:r w:rsidRPr="0048212C">
              <w:rPr>
                <w:rFonts w:ascii="標楷體" w:hAnsi="標楷體" w:hint="eastAsia"/>
                <w:bCs/>
                <w:sz w:val="24"/>
                <w:szCs w:val="24"/>
              </w:rPr>
              <w:t>：</w:t>
            </w:r>
          </w:p>
          <w:p w:rsidR="00A56759" w:rsidRPr="0048212C" w:rsidRDefault="00A56759" w:rsidP="00D8494B">
            <w:pPr>
              <w:spacing w:line="400" w:lineRule="exact"/>
              <w:rPr>
                <w:rFonts w:ascii="標楷體" w:hAnsi="標楷體"/>
                <w:bCs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bCs/>
                <w:sz w:val="24"/>
                <w:szCs w:val="24"/>
              </w:rPr>
              <w:t>第一部份：共同項目</w:t>
            </w:r>
          </w:p>
          <w:p w:rsidR="00A56759" w:rsidRPr="0048212C" w:rsidRDefault="00A56759" w:rsidP="00D8494B">
            <w:pPr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四、基金最近3個營業日平均單位淨資產價值   （4）：</w:t>
            </w:r>
            <w:r w:rsidRPr="0048212C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         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。</w:t>
            </w:r>
          </w:p>
          <w:p w:rsidR="00A56759" w:rsidRPr="0048212C" w:rsidRDefault="00A56759" w:rsidP="00D8494B">
            <w:pPr>
              <w:pStyle w:val="HTML"/>
              <w:spacing w:line="400" w:lineRule="exact"/>
              <w:ind w:leftChars="170" w:left="1122" w:hanging="646"/>
              <w:rPr>
                <w:rFonts w:ascii="標楷體" w:eastAsia="標楷體" w:hAnsi="標楷體"/>
                <w:sz w:val="24"/>
                <w:szCs w:val="24"/>
              </w:rPr>
            </w:pPr>
            <w:r w:rsidRPr="0048212C">
              <w:rPr>
                <w:rFonts w:ascii="標楷體" w:eastAsia="標楷體" w:hAnsi="標楷體" w:hint="eastAsia"/>
                <w:sz w:val="24"/>
                <w:szCs w:val="24"/>
              </w:rPr>
              <w:t>最初單位淨資產價值（5）：</w:t>
            </w:r>
            <w:r w:rsidRPr="0048212C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</w:t>
            </w:r>
            <w:r w:rsidRPr="0048212C">
              <w:rPr>
                <w:rFonts w:ascii="標楷體" w:eastAsia="標楷體" w:hAnsi="標楷體" w:hint="eastAsia"/>
                <w:sz w:val="24"/>
                <w:szCs w:val="24"/>
              </w:rPr>
              <w:t>。§37-5及§83-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48212C">
              <w:rPr>
                <w:rFonts w:ascii="標楷體" w:eastAsia="標楷體" w:hAnsi="標楷體" w:hint="eastAsia"/>
                <w:sz w:val="24"/>
                <w:szCs w:val="24"/>
              </w:rPr>
              <w:t>-3</w:t>
            </w:r>
          </w:p>
          <w:p w:rsidR="00A56759" w:rsidRPr="0048212C" w:rsidRDefault="00A56759" w:rsidP="00D8494B">
            <w:pPr>
              <w:ind w:left="389" w:hangingChars="162" w:hanging="389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(4)/(5)＝</w:t>
            </w:r>
            <w:r w:rsidRPr="0048212C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            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。</w:t>
            </w:r>
          </w:p>
          <w:p w:rsidR="00A56759" w:rsidRPr="0048212C" w:rsidRDefault="00A56759" w:rsidP="00D8494B">
            <w:pPr>
              <w:ind w:leftChars="170" w:left="476"/>
              <w:jc w:val="both"/>
              <w:rPr>
                <w:rFonts w:ascii="標楷體" w:hAnsi="標楷體" w:cs="Arial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（不高於60％應通報；對不特定人募集者</w:t>
            </w:r>
            <w:r w:rsidRPr="0048212C">
              <w:rPr>
                <w:rFonts w:ascii="標楷體" w:hAnsi="標楷體" w:cs="Arial" w:hint="eastAsia"/>
                <w:color w:val="0000FF"/>
                <w:kern w:val="0"/>
                <w:sz w:val="24"/>
                <w:szCs w:val="24"/>
                <w:u w:val="single"/>
              </w:rPr>
              <w:t>最近30個營業日平均單位淨資產價值</w:t>
            </w:r>
            <w:r w:rsidRPr="0048212C">
              <w:rPr>
                <w:rFonts w:ascii="標楷體" w:hAnsi="標楷體" w:cs="Arial"/>
                <w:color w:val="0000FF"/>
                <w:kern w:val="0"/>
                <w:sz w:val="24"/>
                <w:szCs w:val="24"/>
                <w:u w:val="single"/>
              </w:rPr>
              <w:t>較基金最初單位淨資產價值累積跌幅達</w:t>
            </w:r>
            <w:r w:rsidRPr="0048212C">
              <w:rPr>
                <w:rFonts w:ascii="標楷體" w:hAnsi="標楷體" w:cs="Arial" w:hint="eastAsia"/>
                <w:color w:val="0000FF"/>
                <w:kern w:val="0"/>
                <w:sz w:val="24"/>
                <w:szCs w:val="24"/>
                <w:u w:val="single"/>
              </w:rPr>
              <w:t>60％或指數股票型期貨信託基金達80％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應告知申購人</w:t>
            </w:r>
            <w:r w:rsidRPr="0048212C">
              <w:rPr>
                <w:rFonts w:ascii="標楷體" w:hAnsi="標楷體" w:cs="Arial" w:hint="eastAsia"/>
                <w:color w:val="0000FF"/>
                <w:kern w:val="0"/>
                <w:sz w:val="24"/>
                <w:szCs w:val="24"/>
                <w:u w:val="single"/>
              </w:rPr>
              <w:t>、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如</w:t>
            </w:r>
            <w:r w:rsidRPr="0048212C">
              <w:rPr>
                <w:rFonts w:ascii="標楷體" w:hAnsi="標楷體" w:cs="Arial" w:hint="eastAsia"/>
                <w:color w:val="0000FF"/>
                <w:kern w:val="0"/>
                <w:sz w:val="24"/>
                <w:szCs w:val="24"/>
                <w:u w:val="single"/>
              </w:rPr>
              <w:t>達70％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或指數股票型期貨信託基金</w:t>
            </w:r>
            <w:r w:rsidRPr="0048212C">
              <w:rPr>
                <w:rFonts w:ascii="標楷體" w:hAnsi="標楷體" w:cs="Arial" w:hint="eastAsia"/>
                <w:color w:val="0000FF"/>
                <w:kern w:val="0"/>
                <w:sz w:val="24"/>
                <w:szCs w:val="24"/>
                <w:u w:val="single"/>
              </w:rPr>
              <w:t>達90％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應終止契約）</w:t>
            </w:r>
          </w:p>
        </w:tc>
        <w:tc>
          <w:tcPr>
            <w:tcW w:w="1825" w:type="pct"/>
          </w:tcPr>
          <w:p w:rsidR="00A56759" w:rsidRPr="0048212C" w:rsidRDefault="00A56759" w:rsidP="00D8494B">
            <w:pPr>
              <w:spacing w:line="400" w:lineRule="exact"/>
              <w:rPr>
                <w:rFonts w:ascii="標楷體" w:hAnsi="標楷體"/>
                <w:bCs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bCs/>
                <w:sz w:val="24"/>
                <w:szCs w:val="24"/>
              </w:rPr>
              <w:t>檢</w:t>
            </w:r>
            <w:r w:rsidRPr="0048212C">
              <w:rPr>
                <w:rFonts w:ascii="標楷體" w:hAnsi="標楷體"/>
                <w:bCs/>
                <w:sz w:val="24"/>
                <w:szCs w:val="24"/>
              </w:rPr>
              <w:t>查項目</w:t>
            </w:r>
            <w:r w:rsidRPr="0048212C">
              <w:rPr>
                <w:rFonts w:ascii="標楷體" w:hAnsi="標楷體" w:hint="eastAsia"/>
                <w:bCs/>
                <w:sz w:val="24"/>
                <w:szCs w:val="24"/>
              </w:rPr>
              <w:t>：</w:t>
            </w:r>
          </w:p>
          <w:p w:rsidR="00A56759" w:rsidRPr="0048212C" w:rsidRDefault="00A56759" w:rsidP="00D8494B">
            <w:pPr>
              <w:spacing w:line="400" w:lineRule="exact"/>
              <w:rPr>
                <w:rFonts w:ascii="標楷體" w:hAnsi="標楷體"/>
                <w:bCs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bCs/>
                <w:sz w:val="24"/>
                <w:szCs w:val="24"/>
              </w:rPr>
              <w:t>第一部份：共同項目</w:t>
            </w:r>
          </w:p>
          <w:p w:rsidR="00A56759" w:rsidRPr="0048212C" w:rsidRDefault="00A56759" w:rsidP="00D8494B">
            <w:pPr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四、基金最近3個營業日平均單位淨資產價值（4）：</w:t>
            </w:r>
            <w:r w:rsidRPr="0048212C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         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。</w:t>
            </w:r>
          </w:p>
          <w:p w:rsidR="00A56759" w:rsidRPr="0048212C" w:rsidRDefault="00A56759" w:rsidP="00D8494B">
            <w:pPr>
              <w:pStyle w:val="HTML"/>
              <w:spacing w:line="400" w:lineRule="exact"/>
              <w:ind w:leftChars="170" w:left="1124" w:hanging="648"/>
              <w:rPr>
                <w:rFonts w:ascii="標楷體" w:eastAsia="標楷體" w:hAnsi="標楷體" w:cs="Arial"/>
                <w:sz w:val="24"/>
                <w:szCs w:val="24"/>
              </w:rPr>
            </w:pPr>
            <w:r w:rsidRPr="0048212C">
              <w:rPr>
                <w:rFonts w:ascii="標楷體" w:eastAsia="標楷體" w:hAnsi="標楷體" w:hint="eastAsia"/>
                <w:sz w:val="24"/>
                <w:szCs w:val="24"/>
              </w:rPr>
              <w:t>最初單位淨資產價值（5）：</w:t>
            </w:r>
            <w:r w:rsidRPr="0048212C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</w:t>
            </w:r>
            <w:r w:rsidRPr="0048212C">
              <w:rPr>
                <w:rFonts w:ascii="標楷體" w:eastAsia="標楷體" w:hAnsi="標楷體" w:hint="eastAsia"/>
                <w:sz w:val="24"/>
                <w:szCs w:val="24"/>
              </w:rPr>
              <w:t>。§37-5及§83-1-3</w:t>
            </w:r>
          </w:p>
          <w:p w:rsidR="00A56759" w:rsidRPr="0048212C" w:rsidRDefault="00A56759" w:rsidP="00D8494B">
            <w:pPr>
              <w:ind w:left="389" w:hangingChars="162" w:hanging="389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(4)/(5)＝</w:t>
            </w:r>
            <w:r w:rsidRPr="0048212C">
              <w:rPr>
                <w:rFonts w:ascii="標楷體" w:hAnsi="標楷體" w:hint="eastAsia"/>
                <w:sz w:val="24"/>
                <w:szCs w:val="24"/>
                <w:u w:val="single"/>
              </w:rPr>
              <w:t xml:space="preserve">              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。</w:t>
            </w:r>
          </w:p>
          <w:p w:rsidR="00A56759" w:rsidRPr="0048212C" w:rsidRDefault="00A56759" w:rsidP="00D8494B">
            <w:pPr>
              <w:ind w:leftChars="170" w:left="476"/>
              <w:jc w:val="both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（不高於60％應通報；對不特定人募集者，</w:t>
            </w:r>
            <w:r w:rsidRPr="0048212C">
              <w:rPr>
                <w:rFonts w:ascii="標楷體" w:hAnsi="標楷體" w:hint="eastAsia"/>
                <w:sz w:val="24"/>
                <w:szCs w:val="24"/>
                <w:u w:val="single"/>
              </w:rPr>
              <w:t>如不高於40％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應告知申購人</w:t>
            </w:r>
            <w:r w:rsidRPr="0048212C">
              <w:rPr>
                <w:rFonts w:ascii="標楷體" w:hAnsi="標楷體" w:cs="Arial" w:hint="eastAsia"/>
                <w:color w:val="000000" w:themeColor="text1"/>
                <w:kern w:val="0"/>
                <w:sz w:val="24"/>
                <w:szCs w:val="24"/>
                <w:u w:val="single"/>
              </w:rPr>
              <w:t>。另最近30個營業日</w:t>
            </w:r>
            <w:r w:rsidRPr="0048212C">
              <w:rPr>
                <w:rFonts w:ascii="標楷體" w:hAnsi="標楷體" w:hint="eastAsia"/>
                <w:sz w:val="24"/>
                <w:szCs w:val="24"/>
                <w:u w:val="single"/>
              </w:rPr>
              <w:t>如不高於30％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或指數股票型期貨信託基金</w:t>
            </w:r>
            <w:r w:rsidRPr="0048212C">
              <w:rPr>
                <w:rFonts w:ascii="標楷體" w:hAnsi="標楷體" w:hint="eastAsia"/>
                <w:sz w:val="24"/>
                <w:szCs w:val="24"/>
                <w:u w:val="single"/>
              </w:rPr>
              <w:t>不高於10％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應終止契約）</w:t>
            </w:r>
          </w:p>
        </w:tc>
        <w:tc>
          <w:tcPr>
            <w:tcW w:w="1352" w:type="pct"/>
          </w:tcPr>
          <w:p w:rsidR="00A56759" w:rsidRPr="0048212C" w:rsidRDefault="00A56759" w:rsidP="00D8494B">
            <w:pPr>
              <w:spacing w:line="400" w:lineRule="exact"/>
              <w:jc w:val="both"/>
              <w:rPr>
                <w:rFonts w:ascii="標楷體" w:hAnsi="標楷體" w:cs="Arial"/>
                <w:sz w:val="24"/>
                <w:szCs w:val="24"/>
              </w:rPr>
            </w:pPr>
            <w:r w:rsidRPr="00261635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配合</w:t>
            </w:r>
            <w:r w:rsidRPr="00261635">
              <w:rPr>
                <w:rFonts w:ascii="標楷體" w:hAnsi="標楷體"/>
                <w:color w:val="000000" w:themeColor="text1"/>
                <w:sz w:val="24"/>
                <w:szCs w:val="24"/>
              </w:rPr>
              <w:t>一般型期貨信託契約範本</w:t>
            </w:r>
            <w:r w:rsidRPr="00261635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第11條第23項、組合型</w:t>
            </w:r>
            <w:r w:rsidRPr="00261635">
              <w:rPr>
                <w:rFonts w:ascii="標楷體" w:hAnsi="標楷體"/>
                <w:color w:val="000000" w:themeColor="text1"/>
                <w:sz w:val="24"/>
                <w:szCs w:val="24"/>
              </w:rPr>
              <w:t>期貨信託契約範本</w:t>
            </w:r>
            <w:r w:rsidRPr="00261635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第11條第22項、保本型</w:t>
            </w:r>
            <w:r w:rsidRPr="00261635">
              <w:rPr>
                <w:rFonts w:ascii="標楷體" w:hAnsi="標楷體"/>
                <w:color w:val="000000" w:themeColor="text1"/>
                <w:sz w:val="24"/>
                <w:szCs w:val="24"/>
              </w:rPr>
              <w:t>期貨信託契約範本</w:t>
            </w:r>
            <w:r w:rsidRPr="00261635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第13條第22項及指數股票</w:t>
            </w:r>
            <w:r w:rsidRPr="00261635">
              <w:rPr>
                <w:rFonts w:ascii="標楷體" w:hAnsi="標楷體"/>
                <w:color w:val="000000" w:themeColor="text1"/>
                <w:sz w:val="24"/>
                <w:szCs w:val="24"/>
              </w:rPr>
              <w:t>型期貨信託契約範本</w:t>
            </w:r>
            <w:r w:rsidRPr="00261635">
              <w:rPr>
                <w:rFonts w:ascii="標楷體" w:hAnsi="標楷體" w:hint="eastAsia"/>
                <w:color w:val="000000" w:themeColor="text1"/>
                <w:sz w:val="24"/>
                <w:szCs w:val="24"/>
              </w:rPr>
              <w:t>第13條第26項等約定事項，爰調整</w:t>
            </w:r>
            <w:r w:rsidRPr="00261635">
              <w:rPr>
                <w:rFonts w:ascii="標楷體" w:hAnsi="標楷體" w:hint="eastAsia"/>
                <w:bCs/>
                <w:color w:val="000000" w:themeColor="text1"/>
                <w:sz w:val="24"/>
                <w:szCs w:val="24"/>
              </w:rPr>
              <w:t>共同項目</w:t>
            </w:r>
            <w:r w:rsidRPr="00261635">
              <w:rPr>
                <w:rFonts w:ascii="標楷體" w:hAnsi="標楷體" w:cs="Arial" w:hint="eastAsia"/>
                <w:color w:val="000000" w:themeColor="text1"/>
                <w:sz w:val="24"/>
                <w:szCs w:val="24"/>
              </w:rPr>
              <w:t>第四點檢查項目之說明文字。</w:t>
            </w:r>
          </w:p>
        </w:tc>
      </w:tr>
      <w:tr w:rsidR="00A56759" w:rsidRPr="003C6691" w:rsidTr="00D8494B">
        <w:trPr>
          <w:trHeight w:val="1003"/>
        </w:trPr>
        <w:tc>
          <w:tcPr>
            <w:tcW w:w="1823" w:type="pct"/>
          </w:tcPr>
          <w:p w:rsidR="00A56759" w:rsidRPr="0048212C" w:rsidRDefault="00A56759" w:rsidP="00D8494B">
            <w:pPr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六、期貨交易：</w:t>
            </w:r>
          </w:p>
          <w:p w:rsidR="00A56759" w:rsidRPr="0048212C" w:rsidRDefault="00A56759" w:rsidP="00D8494B">
            <w:pPr>
              <w:spacing w:line="400" w:lineRule="exact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(一)對不特定人募集之基金從事於期貨信託基金管理辦法第38條第1項第1款至第2款之</w:t>
            </w:r>
            <w:r w:rsidRPr="0048212C">
              <w:rPr>
                <w:rFonts w:ascii="標楷體" w:hAnsi="標楷體"/>
                <w:sz w:val="24"/>
                <w:szCs w:val="24"/>
              </w:rPr>
              <w:t>交易所收取與支付之保證金及權利金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合計</w:t>
            </w:r>
            <w:r w:rsidRPr="0048212C">
              <w:rPr>
                <w:rFonts w:ascii="標楷體" w:hAnsi="標楷體" w:cs="Arial" w:hint="eastAsia"/>
                <w:color w:val="0000FF"/>
                <w:kern w:val="0"/>
                <w:sz w:val="24"/>
                <w:szCs w:val="24"/>
                <w:u w:val="single"/>
              </w:rPr>
              <w:t>數占基金淨資產價值比率之最近5個營業日平均值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 xml:space="preserve">(7)：__________ </w:t>
            </w:r>
            <w:r w:rsidRPr="0048212C">
              <w:rPr>
                <w:rFonts w:ascii="標楷體" w:hAnsi="標楷體" w:cs="Arial" w:hint="eastAsia"/>
                <w:color w:val="0000FF"/>
                <w:kern w:val="0"/>
                <w:sz w:val="24"/>
                <w:szCs w:val="24"/>
                <w:u w:val="single"/>
              </w:rPr>
              <w:t>％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。</w:t>
            </w:r>
          </w:p>
          <w:p w:rsidR="00A56759" w:rsidRPr="0048212C" w:rsidRDefault="00A56759" w:rsidP="00D8494B">
            <w:pPr>
              <w:spacing w:line="400" w:lineRule="exact"/>
              <w:ind w:firstLineChars="200" w:firstLine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§49-1-2</w:t>
            </w:r>
          </w:p>
          <w:p w:rsidR="00A56759" w:rsidRPr="0048212C" w:rsidRDefault="00A56759" w:rsidP="00D8494B">
            <w:pPr>
              <w:spacing w:line="400" w:lineRule="exact"/>
              <w:ind w:leftChars="200" w:left="560"/>
              <w:rPr>
                <w:rFonts w:ascii="標楷體" w:hAnsi="標楷體"/>
                <w:bCs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(近5個營業日之平均值不得低於5%，但組合型、保本型及指數股票型期貨信託基金不在此限)</w:t>
            </w:r>
          </w:p>
        </w:tc>
        <w:tc>
          <w:tcPr>
            <w:tcW w:w="1825" w:type="pct"/>
          </w:tcPr>
          <w:p w:rsidR="00A56759" w:rsidRPr="0048212C" w:rsidRDefault="00A56759" w:rsidP="00D8494B">
            <w:pPr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六、期貨交易：</w:t>
            </w:r>
          </w:p>
          <w:p w:rsidR="00A56759" w:rsidRPr="0048212C" w:rsidRDefault="00A56759" w:rsidP="00D8494B">
            <w:pPr>
              <w:spacing w:line="400" w:lineRule="exact"/>
              <w:ind w:left="480" w:hangingChars="200" w:hanging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(一)對不特定人募集之基金從事於期貨信託基金管理辦法第38條第1項第1款至第2款之</w:t>
            </w:r>
            <w:r w:rsidRPr="0048212C">
              <w:rPr>
                <w:rFonts w:ascii="標楷體" w:hAnsi="標楷體"/>
                <w:sz w:val="24"/>
                <w:szCs w:val="24"/>
              </w:rPr>
              <w:t>交易所收取與支付之保證金及權利金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合計(7)：__________。</w:t>
            </w:r>
          </w:p>
          <w:p w:rsidR="00A56759" w:rsidRPr="0048212C" w:rsidRDefault="00A56759" w:rsidP="00D8494B">
            <w:pPr>
              <w:spacing w:line="400" w:lineRule="exact"/>
              <w:ind w:firstLineChars="200" w:firstLine="480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§49-1-2</w:t>
            </w:r>
          </w:p>
          <w:p w:rsidR="00A56759" w:rsidRPr="0048212C" w:rsidRDefault="00A56759" w:rsidP="00D8494B">
            <w:pPr>
              <w:spacing w:line="400" w:lineRule="exact"/>
              <w:ind w:leftChars="200" w:left="560"/>
              <w:rPr>
                <w:rFonts w:ascii="標楷體" w:hAnsi="標楷體"/>
                <w:bCs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trike/>
                <w:sz w:val="24"/>
                <w:szCs w:val="24"/>
              </w:rPr>
              <w:t>(7)/(1) =_______________。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 xml:space="preserve"> (近5個營業日之平均值不得低於5%，但組合型、保本型及指數股票型期貨信託基金不在此限)</w:t>
            </w:r>
          </w:p>
        </w:tc>
        <w:tc>
          <w:tcPr>
            <w:tcW w:w="1352" w:type="pct"/>
          </w:tcPr>
          <w:p w:rsidR="00A56759" w:rsidRPr="0048212C" w:rsidRDefault="00A56759" w:rsidP="00D8494B">
            <w:pPr>
              <w:spacing w:line="400" w:lineRule="exact"/>
              <w:jc w:val="both"/>
              <w:rPr>
                <w:rFonts w:ascii="標楷體" w:hAnsi="標楷體"/>
                <w:sz w:val="24"/>
                <w:szCs w:val="24"/>
              </w:rPr>
            </w:pPr>
            <w:r w:rsidRPr="0048212C">
              <w:rPr>
                <w:rFonts w:ascii="標楷體" w:hAnsi="標楷體" w:hint="eastAsia"/>
                <w:sz w:val="24"/>
                <w:szCs w:val="24"/>
              </w:rPr>
              <w:t>配合主管機關114年1月14日</w:t>
            </w:r>
            <w:r w:rsidRPr="0048212C">
              <w:rPr>
                <w:rFonts w:ascii="標楷體" w:hAnsi="標楷體"/>
                <w:sz w:val="24"/>
                <w:szCs w:val="24"/>
              </w:rPr>
              <w:t>金管證期字第1140330019號令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修正</w:t>
            </w:r>
            <w:r w:rsidRPr="0048212C">
              <w:rPr>
                <w:rFonts w:ascii="標楷體" w:hAnsi="標楷體" w:hint="eastAsia"/>
                <w:bCs/>
                <w:sz w:val="24"/>
                <w:szCs w:val="24"/>
              </w:rPr>
              <w:t>共同項目</w:t>
            </w:r>
            <w:r w:rsidRPr="0048212C">
              <w:rPr>
                <w:rFonts w:ascii="標楷體" w:hAnsi="標楷體" w:cs="Arial" w:hint="eastAsia"/>
                <w:sz w:val="24"/>
                <w:szCs w:val="24"/>
              </w:rPr>
              <w:t>第六點</w:t>
            </w:r>
            <w:r w:rsidRPr="0048212C">
              <w:rPr>
                <w:rFonts w:ascii="標楷體" w:hAnsi="標楷體" w:hint="eastAsia"/>
                <w:sz w:val="24"/>
                <w:szCs w:val="24"/>
              </w:rPr>
              <w:t>檢查項目。</w:t>
            </w:r>
          </w:p>
        </w:tc>
      </w:tr>
    </w:tbl>
    <w:p w:rsidR="00FF5314" w:rsidRPr="00A56759" w:rsidRDefault="00FF5314">
      <w:bookmarkStart w:id="0" w:name="_GoBack"/>
      <w:bookmarkEnd w:id="0"/>
    </w:p>
    <w:sectPr w:rsidR="00FF5314" w:rsidRPr="00A56759" w:rsidSect="00A56759">
      <w:pgSz w:w="11906" w:h="16838" w:code="9"/>
      <w:pgMar w:top="1440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30F" w:rsidRDefault="0098430F" w:rsidP="00A56759">
      <w:r>
        <w:separator/>
      </w:r>
    </w:p>
  </w:endnote>
  <w:endnote w:type="continuationSeparator" w:id="0">
    <w:p w:rsidR="0098430F" w:rsidRDefault="0098430F" w:rsidP="00A56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30F" w:rsidRDefault="0098430F" w:rsidP="00A56759">
      <w:r>
        <w:separator/>
      </w:r>
    </w:p>
  </w:footnote>
  <w:footnote w:type="continuationSeparator" w:id="0">
    <w:p w:rsidR="0098430F" w:rsidRDefault="0098430F" w:rsidP="00A567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ADB"/>
    <w:rsid w:val="00375ADB"/>
    <w:rsid w:val="0098430F"/>
    <w:rsid w:val="00A56759"/>
    <w:rsid w:val="00FF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010FC6-0364-43A6-8C8A-C58077EA1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759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675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A5675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5675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A56759"/>
    <w:rPr>
      <w:sz w:val="20"/>
      <w:szCs w:val="20"/>
    </w:rPr>
  </w:style>
  <w:style w:type="paragraph" w:styleId="HTML">
    <w:name w:val="HTML Preformatted"/>
    <w:basedOn w:val="a"/>
    <w:link w:val="HTML0"/>
    <w:rsid w:val="00A567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</w:rPr>
  </w:style>
  <w:style w:type="character" w:customStyle="1" w:styleId="HTML0">
    <w:name w:val="HTML 預設格式 字元"/>
    <w:basedOn w:val="a0"/>
    <w:link w:val="HTML"/>
    <w:rsid w:val="00A56759"/>
    <w:rPr>
      <w:rFonts w:ascii="細明體" w:eastAsia="細明體" w:hAnsi="細明體" w:cs="Courier New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郭仙娟</dc:creator>
  <cp:keywords/>
  <dc:description/>
  <cp:lastModifiedBy>郭仙娟</cp:lastModifiedBy>
  <cp:revision>2</cp:revision>
  <dcterms:created xsi:type="dcterms:W3CDTF">2025-11-20T09:21:00Z</dcterms:created>
  <dcterms:modified xsi:type="dcterms:W3CDTF">2025-11-20T09:22:00Z</dcterms:modified>
</cp:coreProperties>
</file>