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C5D" w:rsidRPr="00E74B80" w:rsidRDefault="004D6C5D" w:rsidP="004D6C5D">
      <w:pPr>
        <w:tabs>
          <w:tab w:val="left" w:pos="6360"/>
        </w:tabs>
        <w:jc w:val="center"/>
        <w:rPr>
          <w:rFonts w:eastAsia="標楷體"/>
          <w:sz w:val="36"/>
        </w:rPr>
      </w:pPr>
      <w:r w:rsidRPr="00E74B80">
        <w:rPr>
          <w:rFonts w:eastAsia="標楷體" w:hint="eastAsia"/>
          <w:sz w:val="36"/>
        </w:rPr>
        <w:t>中華民國期貨業商業同業公會</w:t>
      </w:r>
    </w:p>
    <w:p w:rsidR="004D6C5D" w:rsidRPr="00E74B80" w:rsidRDefault="004D6C5D" w:rsidP="004D6C5D">
      <w:pPr>
        <w:spacing w:line="480" w:lineRule="exact"/>
        <w:jc w:val="center"/>
        <w:rPr>
          <w:rFonts w:eastAsia="標楷體"/>
          <w:sz w:val="36"/>
        </w:rPr>
      </w:pPr>
      <w:r w:rsidRPr="00E74B80">
        <w:rPr>
          <w:rFonts w:ascii="標楷體" w:eastAsia="標楷體" w:hAnsi="標楷體" w:hint="eastAsia"/>
          <w:sz w:val="36"/>
          <w:szCs w:val="40"/>
        </w:rPr>
        <w:t>期貨信託基金</w:t>
      </w:r>
      <w:r w:rsidRPr="00E74B80">
        <w:rPr>
          <w:rFonts w:eastAsia="標楷體" w:hint="eastAsia"/>
          <w:sz w:val="36"/>
        </w:rPr>
        <w:t>宣傳資料及廣告管理辦法</w:t>
      </w:r>
    </w:p>
    <w:p w:rsidR="004D6C5D" w:rsidRDefault="004D6C5D" w:rsidP="004D6C5D">
      <w:pPr>
        <w:spacing w:line="280" w:lineRule="exact"/>
        <w:ind w:leftChars="2100" w:left="5040"/>
        <w:rPr>
          <w:rFonts w:ascii="標楷體" w:eastAsia="標楷體" w:hAnsi="標楷體"/>
          <w:sz w:val="20"/>
        </w:rPr>
      </w:pPr>
    </w:p>
    <w:p w:rsidR="004D6C5D" w:rsidRDefault="004D6C5D" w:rsidP="004D6C5D">
      <w:pPr>
        <w:spacing w:line="280" w:lineRule="exact"/>
        <w:ind w:leftChars="2100" w:left="5040"/>
        <w:rPr>
          <w:rFonts w:ascii="標楷體" w:eastAsia="標楷體" w:hAnsi="標楷體"/>
          <w:sz w:val="20"/>
        </w:rPr>
      </w:pPr>
      <w:r w:rsidRPr="00E74B80">
        <w:rPr>
          <w:rFonts w:ascii="標楷體" w:eastAsia="標楷體" w:hAnsi="標楷體" w:hint="eastAsia"/>
          <w:sz w:val="20"/>
        </w:rPr>
        <w:t>中華民國101年1月30日行政院金融監督管理委員會金管證期字第1010003256號函准予備查</w:t>
      </w:r>
    </w:p>
    <w:p w:rsidR="004D6C5D" w:rsidRDefault="004D6C5D" w:rsidP="004D6C5D">
      <w:pPr>
        <w:spacing w:line="280" w:lineRule="exact"/>
        <w:ind w:leftChars="2100" w:left="5040"/>
        <w:rPr>
          <w:rFonts w:ascii="標楷體" w:eastAsia="標楷體" w:hAnsi="標楷體"/>
          <w:sz w:val="20"/>
        </w:rPr>
      </w:pPr>
      <w:r w:rsidRPr="00C73B6A">
        <w:rPr>
          <w:rFonts w:ascii="標楷體" w:eastAsia="標楷體" w:hAnsi="標楷體" w:hint="eastAsia"/>
          <w:sz w:val="20"/>
        </w:rPr>
        <w:t>中華民國</w:t>
      </w:r>
      <w:r w:rsidRPr="00C73B6A">
        <w:rPr>
          <w:rFonts w:ascii="標楷體" w:eastAsia="標楷體" w:hint="eastAsia"/>
          <w:sz w:val="20"/>
        </w:rPr>
        <w:t>10</w:t>
      </w:r>
      <w:r>
        <w:rPr>
          <w:rFonts w:ascii="標楷體" w:eastAsia="標楷體" w:hint="eastAsia"/>
          <w:sz w:val="20"/>
        </w:rPr>
        <w:t>5</w:t>
      </w:r>
      <w:r w:rsidRPr="00C73B6A">
        <w:rPr>
          <w:rFonts w:ascii="標楷體" w:eastAsia="標楷體" w:hAnsi="標楷體"/>
          <w:sz w:val="20"/>
        </w:rPr>
        <w:t>年</w:t>
      </w:r>
      <w:r>
        <w:rPr>
          <w:rFonts w:ascii="標楷體" w:eastAsia="標楷體" w:hAnsi="標楷體" w:hint="eastAsia"/>
          <w:sz w:val="20"/>
        </w:rPr>
        <w:t>5</w:t>
      </w:r>
      <w:r w:rsidRPr="00C73B6A">
        <w:rPr>
          <w:rFonts w:ascii="標楷體" w:eastAsia="標楷體" w:hAnsi="標楷體"/>
          <w:sz w:val="20"/>
        </w:rPr>
        <w:t>月</w:t>
      </w:r>
      <w:r>
        <w:rPr>
          <w:rFonts w:ascii="標楷體" w:eastAsia="標楷體" w:hAnsi="標楷體" w:hint="eastAsia"/>
          <w:sz w:val="20"/>
        </w:rPr>
        <w:t>26</w:t>
      </w:r>
      <w:r w:rsidRPr="00C73B6A">
        <w:rPr>
          <w:rFonts w:ascii="標楷體" w:eastAsia="標楷體" w:hAnsi="標楷體"/>
          <w:sz w:val="20"/>
        </w:rPr>
        <w:t>日金融監督管理委</w:t>
      </w:r>
      <w:r w:rsidRPr="00C73B6A">
        <w:rPr>
          <w:rFonts w:ascii="標楷體" w:eastAsia="標楷體" w:hAnsi="標楷體" w:hint="eastAsia"/>
          <w:sz w:val="20"/>
        </w:rPr>
        <w:t>員會金管證期字第1</w:t>
      </w:r>
      <w:r w:rsidRPr="00C73B6A">
        <w:rPr>
          <w:rFonts w:ascii="標楷體" w:eastAsia="標楷體"/>
          <w:sz w:val="20"/>
        </w:rPr>
        <w:t>0</w:t>
      </w:r>
      <w:r>
        <w:rPr>
          <w:rFonts w:ascii="標楷體" w:eastAsia="標楷體" w:hint="eastAsia"/>
          <w:sz w:val="20"/>
        </w:rPr>
        <w:t>5</w:t>
      </w:r>
      <w:r w:rsidRPr="00C73B6A">
        <w:rPr>
          <w:rFonts w:ascii="標楷體" w:eastAsia="標楷體"/>
          <w:sz w:val="20"/>
        </w:rPr>
        <w:t>00</w:t>
      </w:r>
      <w:r>
        <w:rPr>
          <w:rFonts w:ascii="標楷體" w:eastAsia="標楷體" w:hint="eastAsia"/>
          <w:sz w:val="20"/>
        </w:rPr>
        <w:t>20974</w:t>
      </w:r>
      <w:r w:rsidRPr="00C73B6A">
        <w:rPr>
          <w:rFonts w:ascii="標楷體" w:eastAsia="標楷體" w:hAnsi="標楷體"/>
          <w:sz w:val="20"/>
        </w:rPr>
        <w:t>號函准予照辦</w:t>
      </w:r>
    </w:p>
    <w:p w:rsidR="004D6C5D" w:rsidRDefault="004D6C5D" w:rsidP="004D6C5D">
      <w:pPr>
        <w:spacing w:line="280" w:lineRule="exact"/>
        <w:ind w:leftChars="2100" w:left="504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6</w:t>
      </w:r>
      <w:r w:rsidRPr="00B87515">
        <w:rPr>
          <w:rFonts w:ascii="標楷體" w:eastAsia="標楷體" w:hAnsi="標楷體"/>
          <w:sz w:val="20"/>
        </w:rPr>
        <w:t>月</w:t>
      </w:r>
      <w:r>
        <w:rPr>
          <w:rFonts w:ascii="標楷體" w:eastAsia="標楷體" w:hAnsi="標楷體" w:hint="eastAsia"/>
          <w:sz w:val="20"/>
        </w:rPr>
        <w:t>13</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屆理監事第1</w:t>
      </w:r>
      <w:r>
        <w:rPr>
          <w:rFonts w:ascii="標楷體" w:eastAsia="標楷體" w:hAnsi="標楷體" w:hint="eastAsia"/>
          <w:sz w:val="20"/>
        </w:rPr>
        <w:t>9</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B351DE" w:rsidRDefault="00B351DE" w:rsidP="004D6C5D">
      <w:pPr>
        <w:spacing w:line="280" w:lineRule="exact"/>
        <w:ind w:leftChars="2100" w:left="504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w:t>
      </w:r>
      <w:r>
        <w:rPr>
          <w:rFonts w:ascii="標楷體" w:eastAsia="標楷體" w:hint="eastAsia"/>
          <w:sz w:val="20"/>
        </w:rPr>
        <w:t>14</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Pr>
          <w:rFonts w:ascii="標楷體" w:eastAsia="標楷體" w:hAnsi="標楷體" w:hint="eastAsia"/>
          <w:sz w:val="20"/>
        </w:rPr>
        <w:t>25</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7</w:t>
      </w:r>
      <w:r w:rsidRPr="00B87515">
        <w:rPr>
          <w:rFonts w:ascii="標楷體" w:eastAsia="標楷體" w:hAnsi="標楷體" w:hint="eastAsia"/>
          <w:sz w:val="20"/>
        </w:rPr>
        <w:t>屆理監事第1</w:t>
      </w:r>
      <w:r>
        <w:rPr>
          <w:rFonts w:ascii="標楷體" w:eastAsia="標楷體" w:hAnsi="標楷體" w:hint="eastAsia"/>
          <w:sz w:val="20"/>
        </w:rPr>
        <w:t>7</w:t>
      </w:r>
      <w:r w:rsidRPr="00B87515">
        <w:rPr>
          <w:rFonts w:ascii="標楷體" w:eastAsia="標楷體" w:hAnsi="標楷體" w:hint="eastAsia"/>
          <w:sz w:val="20"/>
        </w:rPr>
        <w:t>次聯席會議通過</w:t>
      </w:r>
    </w:p>
    <w:p w:rsidR="00977F78" w:rsidRDefault="00977F78" w:rsidP="00977F78">
      <w:pPr>
        <w:spacing w:line="280" w:lineRule="exact"/>
        <w:ind w:leftChars="2100" w:left="5040"/>
        <w:rPr>
          <w:rFonts w:ascii="標楷體" w:eastAsia="標楷體" w:hAnsi="標楷體"/>
          <w:sz w:val="20"/>
        </w:rPr>
      </w:pPr>
      <w:r w:rsidRPr="00C73B6A">
        <w:rPr>
          <w:rFonts w:ascii="標楷體" w:eastAsia="標楷體" w:hAnsi="標楷體" w:hint="eastAsia"/>
          <w:sz w:val="20"/>
        </w:rPr>
        <w:t>中華民國</w:t>
      </w:r>
      <w:r w:rsidRPr="00C73B6A">
        <w:rPr>
          <w:rFonts w:ascii="標楷體" w:eastAsia="標楷體" w:hint="eastAsia"/>
          <w:sz w:val="20"/>
        </w:rPr>
        <w:t>1</w:t>
      </w:r>
      <w:r>
        <w:rPr>
          <w:rFonts w:ascii="標楷體" w:eastAsia="標楷體" w:hint="eastAsia"/>
          <w:sz w:val="20"/>
        </w:rPr>
        <w:t>14</w:t>
      </w:r>
      <w:r w:rsidRPr="00C73B6A">
        <w:rPr>
          <w:rFonts w:ascii="標楷體" w:eastAsia="標楷體" w:hAnsi="標楷體"/>
          <w:sz w:val="20"/>
        </w:rPr>
        <w:t>年</w:t>
      </w:r>
      <w:r>
        <w:rPr>
          <w:rFonts w:ascii="標楷體" w:eastAsia="標楷體" w:hAnsi="標楷體" w:hint="eastAsia"/>
          <w:sz w:val="20"/>
        </w:rPr>
        <w:t>5</w:t>
      </w:r>
      <w:r w:rsidRPr="00C73B6A">
        <w:rPr>
          <w:rFonts w:ascii="標楷體" w:eastAsia="標楷體" w:hAnsi="標楷體"/>
          <w:sz w:val="20"/>
        </w:rPr>
        <w:t>月</w:t>
      </w:r>
      <w:r>
        <w:rPr>
          <w:rFonts w:ascii="標楷體" w:eastAsia="標楷體" w:hAnsi="標楷體" w:hint="eastAsia"/>
          <w:sz w:val="20"/>
        </w:rPr>
        <w:t>22</w:t>
      </w:r>
      <w:r w:rsidRPr="00C73B6A">
        <w:rPr>
          <w:rFonts w:ascii="標楷體" w:eastAsia="標楷體" w:hAnsi="標楷體"/>
          <w:sz w:val="20"/>
        </w:rPr>
        <w:t>日金融監督管理委</w:t>
      </w:r>
      <w:r w:rsidRPr="00C73B6A">
        <w:rPr>
          <w:rFonts w:ascii="標楷體" w:eastAsia="標楷體" w:hAnsi="標楷體" w:hint="eastAsia"/>
          <w:sz w:val="20"/>
        </w:rPr>
        <w:t>員會金管證期字第1</w:t>
      </w:r>
      <w:r>
        <w:rPr>
          <w:rFonts w:ascii="標楷體" w:eastAsia="標楷體" w:hAnsi="標楷體" w:hint="eastAsia"/>
          <w:sz w:val="20"/>
        </w:rPr>
        <w:t>14</w:t>
      </w:r>
      <w:r w:rsidRPr="00C73B6A">
        <w:rPr>
          <w:rFonts w:ascii="標楷體" w:eastAsia="標楷體"/>
          <w:sz w:val="20"/>
        </w:rPr>
        <w:t>0</w:t>
      </w:r>
      <w:r>
        <w:rPr>
          <w:rFonts w:ascii="標楷體" w:eastAsia="標楷體" w:hint="eastAsia"/>
          <w:sz w:val="20"/>
        </w:rPr>
        <w:t>137868</w:t>
      </w:r>
      <w:r w:rsidRPr="00C73B6A">
        <w:rPr>
          <w:rFonts w:ascii="標楷體" w:eastAsia="標楷體" w:hAnsi="標楷體"/>
          <w:sz w:val="20"/>
        </w:rPr>
        <w:t>號函</w:t>
      </w:r>
      <w:r>
        <w:rPr>
          <w:rFonts w:ascii="標楷體" w:eastAsia="標楷體" w:hAnsi="標楷體" w:hint="eastAsia"/>
          <w:sz w:val="20"/>
        </w:rPr>
        <w:t>同意備查</w:t>
      </w:r>
    </w:p>
    <w:p w:rsidR="004D6C5D" w:rsidRPr="00977F78" w:rsidRDefault="004D6C5D" w:rsidP="004D6C5D">
      <w:pPr>
        <w:spacing w:line="280" w:lineRule="exact"/>
        <w:ind w:leftChars="2100" w:left="5040"/>
        <w:rPr>
          <w:rFonts w:ascii="標楷體" w:eastAsia="標楷體" w:hAnsi="標楷體"/>
          <w:sz w:val="20"/>
        </w:rPr>
      </w:pPr>
    </w:p>
    <w:p w:rsidR="004D6C5D" w:rsidRPr="00E74B80" w:rsidRDefault="004D6C5D" w:rsidP="004D6C5D">
      <w:pPr>
        <w:ind w:left="1300" w:hangingChars="500" w:hanging="1300"/>
        <w:jc w:val="both"/>
        <w:rPr>
          <w:rFonts w:eastAsia="標楷體"/>
          <w:sz w:val="26"/>
        </w:rPr>
      </w:pPr>
      <w:r w:rsidRPr="00E74B80">
        <w:rPr>
          <w:rFonts w:eastAsia="標楷體" w:hint="eastAsia"/>
          <w:sz w:val="26"/>
        </w:rPr>
        <w:t>第一條　　本辦法依</w:t>
      </w:r>
      <w:r w:rsidRPr="00C665A5">
        <w:rPr>
          <w:rFonts w:eastAsia="標楷體" w:hint="eastAsia"/>
          <w:sz w:val="26"/>
        </w:rPr>
        <w:t>金融消費者保護法第八條第一項、第十條第一項、金融服務業從事廣告業務招攬及營業促銷活動辦法、金融服務業提供金融商品或服務前說明契約重要內容及揭露風險辦法、期貨信託基金</w:t>
      </w:r>
      <w:r w:rsidRPr="00E74B80">
        <w:rPr>
          <w:rFonts w:eastAsia="標楷體" w:hint="eastAsia"/>
          <w:sz w:val="26"/>
        </w:rPr>
        <w:t>管理辦法第二十二條第一項規定訂定之。</w:t>
      </w:r>
    </w:p>
    <w:p w:rsidR="004D6C5D" w:rsidRPr="00E74B80" w:rsidRDefault="004D6C5D" w:rsidP="004D6C5D">
      <w:pPr>
        <w:spacing w:before="120"/>
        <w:ind w:left="1300" w:hangingChars="500" w:hanging="1300"/>
        <w:jc w:val="both"/>
        <w:rPr>
          <w:rFonts w:eastAsia="標楷體"/>
          <w:sz w:val="26"/>
        </w:rPr>
      </w:pPr>
      <w:r w:rsidRPr="00E74B80">
        <w:rPr>
          <w:rFonts w:eastAsia="標楷體" w:hint="eastAsia"/>
          <w:sz w:val="26"/>
        </w:rPr>
        <w:t>第二條　　訂定本辦法之目的，在於規範</w:t>
      </w:r>
      <w:r w:rsidRPr="00E74B80">
        <w:rPr>
          <w:rFonts w:ascii="標楷體" w:eastAsia="標楷體" w:hAnsi="標楷體" w:cs="細明體" w:hint="eastAsia"/>
          <w:bCs/>
          <w:sz w:val="26"/>
        </w:rPr>
        <w:t>本</w:t>
      </w:r>
      <w:r w:rsidRPr="00E74B80">
        <w:rPr>
          <w:rFonts w:eastAsia="標楷體" w:hint="eastAsia"/>
          <w:sz w:val="26"/>
        </w:rPr>
        <w:t>公會會員及委任之基金銷售機構</w:t>
      </w:r>
      <w:r w:rsidRPr="00E74B80">
        <w:rPr>
          <w:rFonts w:eastAsia="標楷體" w:hAnsi="標楷體" w:hint="eastAsia"/>
          <w:sz w:val="26"/>
        </w:rPr>
        <w:t>對不特定人募集或銷售期貨信託基金</w:t>
      </w:r>
      <w:r w:rsidRPr="00E74B80">
        <w:rPr>
          <w:rFonts w:eastAsia="標楷體" w:hint="eastAsia"/>
          <w:sz w:val="26"/>
        </w:rPr>
        <w:t>宣傳資料及廣告物之形式、內容、製作及傳播等相關事項，以維護合法業者之專業形象，並保障投資人權益。</w:t>
      </w:r>
    </w:p>
    <w:p w:rsidR="004D6C5D" w:rsidRPr="00E74B80" w:rsidRDefault="004D6C5D" w:rsidP="004D6C5D">
      <w:pPr>
        <w:spacing w:before="120"/>
        <w:ind w:left="1300" w:hangingChars="500" w:hanging="1300"/>
        <w:jc w:val="both"/>
        <w:rPr>
          <w:rFonts w:eastAsia="標楷體"/>
          <w:sz w:val="26"/>
        </w:rPr>
      </w:pPr>
      <w:r w:rsidRPr="00E74B80">
        <w:rPr>
          <w:rFonts w:eastAsia="標楷體" w:hint="eastAsia"/>
          <w:sz w:val="26"/>
        </w:rPr>
        <w:t xml:space="preserve">第三條　　</w:t>
      </w:r>
      <w:r w:rsidRPr="00E74B80">
        <w:rPr>
          <w:rFonts w:eastAsia="標楷體"/>
          <w:bCs/>
          <w:sz w:val="26"/>
        </w:rPr>
        <w:t>期貨信託事業及其委任之基金銷售機構</w:t>
      </w:r>
      <w:r w:rsidRPr="00E74B80">
        <w:rPr>
          <w:rFonts w:ascii="標楷體" w:eastAsia="標楷體" w:hAnsi="標楷體" w:cs="細明體"/>
          <w:bCs/>
          <w:sz w:val="26"/>
        </w:rPr>
        <w:t>從事期貨信託基金之宣傳資料</w:t>
      </w:r>
      <w:r w:rsidRPr="00E74B80">
        <w:rPr>
          <w:rFonts w:ascii="標楷體" w:eastAsia="標楷體" w:hAnsi="標楷體" w:cs="細明體" w:hint="eastAsia"/>
          <w:bCs/>
          <w:sz w:val="26"/>
        </w:rPr>
        <w:t>、</w:t>
      </w:r>
      <w:r w:rsidRPr="00E74B80">
        <w:rPr>
          <w:rFonts w:ascii="標楷體" w:eastAsia="標楷體" w:hAnsi="標楷體" w:cs="細明體"/>
          <w:bCs/>
          <w:sz w:val="26"/>
        </w:rPr>
        <w:t>廣告</w:t>
      </w:r>
      <w:r w:rsidRPr="00E74B80">
        <w:rPr>
          <w:rFonts w:ascii="標楷體" w:eastAsia="標楷體" w:hAnsi="標楷體" w:cs="細明體" w:hint="eastAsia"/>
          <w:bCs/>
          <w:sz w:val="26"/>
        </w:rPr>
        <w:t>，應依</w:t>
      </w:r>
      <w:r w:rsidRPr="00E74B80">
        <w:rPr>
          <w:rFonts w:eastAsia="標楷體" w:hint="eastAsia"/>
          <w:sz w:val="26"/>
        </w:rPr>
        <w:t>本辦法</w:t>
      </w:r>
      <w:r w:rsidRPr="00E74B80">
        <w:rPr>
          <w:rFonts w:ascii="標楷體" w:eastAsia="標楷體" w:hAnsi="標楷體" w:cs="細明體" w:hint="eastAsia"/>
          <w:bCs/>
          <w:sz w:val="26"/>
        </w:rPr>
        <w:t>之規定；本辦法未規定者，應適用</w:t>
      </w:r>
      <w:r w:rsidRPr="00E74B80">
        <w:rPr>
          <w:rFonts w:eastAsia="標楷體" w:hint="eastAsia"/>
          <w:sz w:val="26"/>
        </w:rPr>
        <w:t>本公會會員</w:t>
      </w:r>
      <w:r w:rsidRPr="00E74B80">
        <w:rPr>
          <w:rFonts w:ascii="細明體" w:eastAsia="標楷體" w:hAnsi="細明體" w:cs="細明體" w:hint="eastAsia"/>
          <w:sz w:val="26"/>
        </w:rPr>
        <w:t>暨</w:t>
      </w:r>
      <w:r w:rsidRPr="00E74B80">
        <w:rPr>
          <w:rFonts w:ascii="細明體" w:eastAsia="標楷體" w:hAnsi="細明體" w:cs="細明體"/>
          <w:sz w:val="26"/>
        </w:rPr>
        <w:t>期貨信託基金銷售機構</w:t>
      </w:r>
      <w:r w:rsidRPr="00E74B80">
        <w:rPr>
          <w:rFonts w:eastAsia="標楷體" w:hint="eastAsia"/>
          <w:sz w:val="26"/>
        </w:rPr>
        <w:t>從事廣告業務招攬及營業促銷活動管理辦法之規定。</w:t>
      </w:r>
    </w:p>
    <w:p w:rsidR="004D6C5D" w:rsidRDefault="004D6C5D" w:rsidP="004D6C5D">
      <w:pPr>
        <w:spacing w:before="120"/>
        <w:ind w:left="1300" w:hangingChars="500" w:hanging="1300"/>
        <w:jc w:val="both"/>
        <w:rPr>
          <w:rFonts w:eastAsia="標楷體" w:hAnsi="標楷體"/>
          <w:sz w:val="26"/>
          <w:szCs w:val="28"/>
        </w:rPr>
      </w:pPr>
      <w:r w:rsidRPr="00E74B80">
        <w:rPr>
          <w:rFonts w:eastAsia="標楷體" w:hint="eastAsia"/>
          <w:sz w:val="26"/>
        </w:rPr>
        <w:t xml:space="preserve">第四條　　</w:t>
      </w:r>
      <w:r w:rsidRPr="00E74B80">
        <w:rPr>
          <w:rFonts w:eastAsia="標楷體" w:hAnsi="標楷體" w:hint="eastAsia"/>
          <w:sz w:val="26"/>
          <w:szCs w:val="28"/>
        </w:rPr>
        <w:t>期貨信託事業委任之基金銷售機構從事期貨信託基金之</w:t>
      </w:r>
      <w:r w:rsidRPr="00E74B80">
        <w:rPr>
          <w:rFonts w:eastAsia="標楷體" w:hint="eastAsia"/>
          <w:sz w:val="26"/>
        </w:rPr>
        <w:t>宣傳資料</w:t>
      </w:r>
      <w:r w:rsidRPr="00E74B80">
        <w:rPr>
          <w:rFonts w:eastAsia="標楷體" w:hAnsi="標楷體" w:hint="eastAsia"/>
          <w:sz w:val="26"/>
          <w:szCs w:val="28"/>
        </w:rPr>
        <w:t>、廣告有違反本</w:t>
      </w:r>
      <w:r w:rsidRPr="00E74B80">
        <w:rPr>
          <w:rFonts w:eastAsia="標楷體" w:hint="eastAsia"/>
          <w:sz w:val="26"/>
        </w:rPr>
        <w:t>辦法</w:t>
      </w:r>
      <w:r w:rsidRPr="00E74B80">
        <w:rPr>
          <w:rFonts w:eastAsia="標楷體" w:hAnsi="標楷體" w:hint="eastAsia"/>
          <w:sz w:val="26"/>
          <w:szCs w:val="28"/>
        </w:rPr>
        <w:t>規定時，期貨信託事業</w:t>
      </w:r>
      <w:r w:rsidRPr="00977F78">
        <w:rPr>
          <w:rFonts w:ascii="Arial" w:eastAsia="標楷體" w:hAnsi="Arial" w:cs="Arial" w:hint="eastAsia"/>
          <w:color w:val="0000FF"/>
          <w:sz w:val="26"/>
          <w:szCs w:val="26"/>
          <w:u w:val="single"/>
        </w:rPr>
        <w:t>及基金銷售機構</w:t>
      </w:r>
      <w:r w:rsidRPr="00E74B80">
        <w:rPr>
          <w:rFonts w:eastAsia="標楷體" w:hAnsi="標楷體" w:hint="eastAsia"/>
          <w:sz w:val="26"/>
          <w:szCs w:val="28"/>
        </w:rPr>
        <w:t>除確實有不可歸責之事由外，應依相關法令負其責任。</w:t>
      </w:r>
    </w:p>
    <w:p w:rsidR="004D6C5D" w:rsidRPr="00255A46" w:rsidRDefault="004D6C5D" w:rsidP="004D6C5D">
      <w:pPr>
        <w:pStyle w:val="ad"/>
        <w:tabs>
          <w:tab w:val="clear" w:pos="332"/>
        </w:tabs>
        <w:spacing w:before="60"/>
        <w:ind w:leftChars="550" w:left="1320" w:firstLineChars="0" w:firstLine="0"/>
        <w:jc w:val="both"/>
        <w:rPr>
          <w:sz w:val="26"/>
          <w:szCs w:val="26"/>
        </w:rPr>
      </w:pPr>
      <w:r w:rsidRPr="00255A46">
        <w:rPr>
          <w:rFonts w:ascii="Arial" w:hAnsi="Arial" w:cs="Arial" w:hint="eastAsia"/>
          <w:color w:val="0000FF"/>
          <w:kern w:val="0"/>
          <w:sz w:val="26"/>
          <w:szCs w:val="26"/>
          <w:u w:val="single"/>
        </w:rPr>
        <w:t>期貨信託事業或其委任之基金銷售機構辦理期貨信託基金之募集及銷售業務，其廣告及營業活動得委任其他事業辦理之，但對於該事業辦理相關活動有違反本辦法規定時，除確實有不可歸責之事由外，應依相關法令負其責任</w:t>
      </w:r>
      <w:r>
        <w:rPr>
          <w:rFonts w:ascii="Arial" w:hAnsi="Arial" w:cs="Arial" w:hint="eastAsia"/>
          <w:color w:val="0000FF"/>
          <w:kern w:val="0"/>
          <w:sz w:val="26"/>
          <w:szCs w:val="26"/>
          <w:u w:val="single"/>
        </w:rPr>
        <w:t>。</w:t>
      </w:r>
    </w:p>
    <w:p w:rsidR="004D6C5D" w:rsidRPr="00E74B80" w:rsidRDefault="004D6C5D" w:rsidP="004D6C5D">
      <w:pPr>
        <w:pStyle w:val="a9"/>
        <w:ind w:left="1300" w:hangingChars="500" w:hanging="1300"/>
        <w:rPr>
          <w:sz w:val="26"/>
        </w:rPr>
      </w:pPr>
      <w:r w:rsidRPr="00E74B80">
        <w:rPr>
          <w:rFonts w:hint="eastAsia"/>
          <w:sz w:val="26"/>
        </w:rPr>
        <w:t xml:space="preserve">第五條　　</w:t>
      </w:r>
      <w:r w:rsidRPr="00E74B80">
        <w:rPr>
          <w:rFonts w:hAnsi="標楷體" w:hint="eastAsia"/>
          <w:sz w:val="26"/>
          <w:szCs w:val="28"/>
        </w:rPr>
        <w:t>期貨信託</w:t>
      </w:r>
      <w:r w:rsidRPr="00E74B80">
        <w:rPr>
          <w:rFonts w:hint="eastAsia"/>
          <w:sz w:val="26"/>
        </w:rPr>
        <w:t>事業及其委任之基金銷售機構發布有關基金資料之新聞稿，須確保相關內容之正確性，以避免誤導投資大眾之判斷力，並應遵守下列處理原則：</w:t>
      </w:r>
    </w:p>
    <w:p w:rsidR="004D6C5D" w:rsidRPr="00E74B80" w:rsidRDefault="004D6C5D" w:rsidP="004D6C5D">
      <w:pPr>
        <w:pStyle w:val="a9"/>
        <w:spacing w:before="60"/>
        <w:ind w:leftChars="550" w:left="1840" w:hangingChars="200" w:hanging="520"/>
        <w:rPr>
          <w:sz w:val="26"/>
        </w:rPr>
      </w:pPr>
      <w:r w:rsidRPr="00E74B80">
        <w:rPr>
          <w:rFonts w:hint="eastAsia"/>
          <w:sz w:val="26"/>
        </w:rPr>
        <w:t>一、對送目的事業主管機關審核中之新基金之募集申請案件所發布之新聞稿，應以目的事業主管機關網站公告資訊項目內容為限。</w:t>
      </w:r>
    </w:p>
    <w:p w:rsidR="004D6C5D" w:rsidRPr="00E74B80" w:rsidRDefault="004D6C5D" w:rsidP="004D6C5D">
      <w:pPr>
        <w:pStyle w:val="a9"/>
        <w:spacing w:before="60"/>
        <w:ind w:leftChars="550" w:left="1840" w:hangingChars="200" w:hanging="520"/>
        <w:rPr>
          <w:sz w:val="26"/>
        </w:rPr>
      </w:pPr>
      <w:r w:rsidRPr="00E74B80">
        <w:rPr>
          <w:rFonts w:hint="eastAsia"/>
          <w:sz w:val="26"/>
        </w:rPr>
        <w:t>二、新聞稿內容如其涉及基金之促銷或刊登得與公司聯絡之方式等，應向本公會辦理申報；如為經理人依其專業對投資市場發表其投資分析意見，則免辦理申報，但其內容仍應符合相關法令之規定。</w:t>
      </w:r>
    </w:p>
    <w:p w:rsidR="004D6C5D" w:rsidRPr="00E74B80" w:rsidRDefault="004D6C5D" w:rsidP="004D6C5D">
      <w:pPr>
        <w:spacing w:before="60"/>
        <w:ind w:leftChars="550" w:left="1798" w:hangingChars="184" w:hanging="478"/>
        <w:jc w:val="both"/>
        <w:rPr>
          <w:rFonts w:eastAsia="標楷體"/>
          <w:sz w:val="26"/>
        </w:rPr>
      </w:pPr>
      <w:r w:rsidRPr="00E74B80">
        <w:rPr>
          <w:rFonts w:eastAsia="標楷體" w:hint="eastAsia"/>
          <w:sz w:val="26"/>
        </w:rPr>
        <w:t>三、公司得於新聞稿發稿前依本公會指定申報方式向本公會辦理申報。</w:t>
      </w:r>
    </w:p>
    <w:p w:rsidR="004D6C5D" w:rsidRPr="00E74B80" w:rsidRDefault="004D6C5D" w:rsidP="004D6C5D">
      <w:pPr>
        <w:pStyle w:val="a9"/>
        <w:ind w:left="1300" w:hangingChars="500" w:hanging="1300"/>
        <w:rPr>
          <w:sz w:val="26"/>
        </w:rPr>
      </w:pPr>
      <w:r w:rsidRPr="00E74B80">
        <w:rPr>
          <w:rFonts w:hint="eastAsia"/>
          <w:sz w:val="26"/>
        </w:rPr>
        <w:lastRenderedPageBreak/>
        <w:t>第六條　　期貨信託事業及委任之基金銷售機構從事基金之</w:t>
      </w:r>
      <w:r w:rsidRPr="00E74B80">
        <w:rPr>
          <w:sz w:val="26"/>
        </w:rPr>
        <w:t>廣告</w:t>
      </w:r>
      <w:r w:rsidRPr="00E74B80">
        <w:rPr>
          <w:rFonts w:hint="eastAsia"/>
          <w:sz w:val="26"/>
        </w:rPr>
        <w:t>及製發宣傳文件，另應遵守下列事項：</w:t>
      </w:r>
    </w:p>
    <w:p w:rsidR="004D6C5D" w:rsidRPr="00E74B80" w:rsidRDefault="004D6C5D" w:rsidP="004D6C5D">
      <w:pPr>
        <w:pStyle w:val="a9"/>
        <w:spacing w:before="60"/>
        <w:ind w:leftChars="550" w:left="1840" w:hangingChars="200" w:hanging="520"/>
        <w:rPr>
          <w:sz w:val="26"/>
        </w:rPr>
      </w:pPr>
      <w:r w:rsidRPr="00E74B80">
        <w:rPr>
          <w:rFonts w:hint="eastAsia"/>
          <w:sz w:val="26"/>
        </w:rPr>
        <w:t>一、不得藉目的事業主管機關對該基金之核准，作為證實申請事項或保證基金價值之宣傳。</w:t>
      </w:r>
    </w:p>
    <w:p w:rsidR="004D6C5D" w:rsidRPr="00E74B80" w:rsidRDefault="004D6C5D" w:rsidP="004D6C5D">
      <w:pPr>
        <w:pStyle w:val="a9"/>
        <w:spacing w:before="60"/>
        <w:ind w:leftChars="550" w:left="1840" w:hangingChars="200" w:hanging="520"/>
        <w:rPr>
          <w:sz w:val="26"/>
        </w:rPr>
      </w:pPr>
      <w:r w:rsidRPr="00E74B80">
        <w:rPr>
          <w:rFonts w:hint="eastAsia"/>
          <w:sz w:val="26"/>
        </w:rPr>
        <w:t>二、不得使人誤信能保證本金之安全或保證獲利者。</w:t>
      </w:r>
      <w:r w:rsidRPr="00E74B80">
        <w:rPr>
          <w:sz w:val="26"/>
        </w:rPr>
        <w:t>但</w:t>
      </w:r>
      <w:r w:rsidRPr="00E74B80">
        <w:rPr>
          <w:rFonts w:hint="eastAsia"/>
          <w:sz w:val="26"/>
        </w:rPr>
        <w:t>設有保證機構之保證型</w:t>
      </w:r>
      <w:r w:rsidRPr="00E74B80">
        <w:rPr>
          <w:sz w:val="26"/>
        </w:rPr>
        <w:t>保本基金已於</w:t>
      </w:r>
      <w:r w:rsidRPr="00E74B80">
        <w:rPr>
          <w:rFonts w:hint="eastAsia"/>
          <w:sz w:val="26"/>
        </w:rPr>
        <w:t>其</w:t>
      </w:r>
      <w:r w:rsidRPr="00E74B80">
        <w:rPr>
          <w:sz w:val="26"/>
        </w:rPr>
        <w:t>公開說明書</w:t>
      </w:r>
      <w:r w:rsidRPr="00E74B80">
        <w:rPr>
          <w:rFonts w:hint="eastAsia"/>
          <w:sz w:val="26"/>
        </w:rPr>
        <w:t>中，</w:t>
      </w:r>
      <w:r w:rsidRPr="00E74B80">
        <w:rPr>
          <w:sz w:val="26"/>
        </w:rPr>
        <w:t>充分揭露保證之具體內容者，其保證本金安全部分</w:t>
      </w:r>
      <w:r w:rsidRPr="00E74B80">
        <w:rPr>
          <w:rFonts w:hint="eastAsia"/>
          <w:sz w:val="26"/>
        </w:rPr>
        <w:t>，</w:t>
      </w:r>
      <w:r w:rsidRPr="00E74B80">
        <w:rPr>
          <w:sz w:val="26"/>
        </w:rPr>
        <w:t>不在此限。</w:t>
      </w:r>
    </w:p>
    <w:p w:rsidR="004D6C5D" w:rsidRPr="00E74B80" w:rsidRDefault="004D6C5D" w:rsidP="004D6C5D">
      <w:pPr>
        <w:pStyle w:val="a9"/>
        <w:spacing w:before="60"/>
        <w:ind w:leftChars="550" w:left="1840" w:hangingChars="200" w:hanging="520"/>
        <w:rPr>
          <w:sz w:val="26"/>
        </w:rPr>
      </w:pPr>
      <w:r w:rsidRPr="00E74B80">
        <w:rPr>
          <w:rFonts w:hint="eastAsia"/>
          <w:sz w:val="26"/>
        </w:rPr>
        <w:t>三、不得提供贈品、或定存加碼、貸款減碼等金融性產品或以其他利益等，勸誘他人購買基金。但目的事業主管機關另有規定者，不在此限。</w:t>
      </w:r>
    </w:p>
    <w:p w:rsidR="004D6C5D" w:rsidRPr="00E74B80" w:rsidRDefault="004D6C5D" w:rsidP="004D6C5D">
      <w:pPr>
        <w:pStyle w:val="a9"/>
        <w:spacing w:before="60"/>
        <w:ind w:leftChars="550" w:left="1840" w:hangingChars="200" w:hanging="520"/>
        <w:rPr>
          <w:sz w:val="26"/>
        </w:rPr>
      </w:pPr>
      <w:r w:rsidRPr="00E74B80">
        <w:rPr>
          <w:rFonts w:hint="eastAsia"/>
          <w:sz w:val="26"/>
        </w:rPr>
        <w:t>四、不得對於業績</w:t>
      </w:r>
      <w:r w:rsidRPr="00E74B80">
        <w:rPr>
          <w:rFonts w:hAnsi="標楷體" w:hint="eastAsia"/>
          <w:spacing w:val="4"/>
          <w:sz w:val="26"/>
        </w:rPr>
        <w:t>及績效</w:t>
      </w:r>
      <w:r w:rsidRPr="00E74B80">
        <w:rPr>
          <w:rFonts w:hint="eastAsia"/>
          <w:sz w:val="26"/>
        </w:rPr>
        <w:t>作誇大之宣傳。</w:t>
      </w:r>
    </w:p>
    <w:p w:rsidR="004D6C5D" w:rsidRPr="00E74B80" w:rsidRDefault="004D6C5D" w:rsidP="004D6C5D">
      <w:pPr>
        <w:pStyle w:val="a9"/>
        <w:spacing w:before="60"/>
        <w:ind w:leftChars="550" w:left="1840" w:hangingChars="200" w:hanging="520"/>
        <w:rPr>
          <w:sz w:val="26"/>
        </w:rPr>
      </w:pPr>
      <w:r w:rsidRPr="00E74B80">
        <w:rPr>
          <w:rFonts w:hint="eastAsia"/>
          <w:sz w:val="26"/>
        </w:rPr>
        <w:t>五、</w:t>
      </w:r>
      <w:r w:rsidRPr="00E74B80">
        <w:rPr>
          <w:rFonts w:hAnsi="標楷體" w:hint="eastAsia"/>
          <w:spacing w:val="4"/>
          <w:sz w:val="26"/>
        </w:rPr>
        <w:t>基金廣告宣傳文件所載資訊或資料均須正確，所有陳述或圖表均應公平表達，並</w:t>
      </w:r>
      <w:r w:rsidRPr="00E74B80">
        <w:rPr>
          <w:rFonts w:hint="eastAsia"/>
          <w:sz w:val="26"/>
        </w:rPr>
        <w:t>不得有虛偽不實、詐欺、隱匿、誇大、偏頗、誤導或其他足致他人誤信之情事</w:t>
      </w:r>
      <w:r w:rsidRPr="00E74B80">
        <w:rPr>
          <w:rFonts w:hint="eastAsia"/>
          <w:spacing w:val="4"/>
          <w:sz w:val="26"/>
        </w:rPr>
        <w:t>；前述資訊</w:t>
      </w:r>
      <w:r w:rsidRPr="00E74B80">
        <w:rPr>
          <w:rFonts w:hint="eastAsia"/>
          <w:sz w:val="26"/>
        </w:rPr>
        <w:t>或資料應註記日期。</w:t>
      </w:r>
    </w:p>
    <w:p w:rsidR="004D6C5D" w:rsidRPr="00E74B80" w:rsidRDefault="004D6C5D" w:rsidP="004D6C5D">
      <w:pPr>
        <w:pStyle w:val="a9"/>
        <w:spacing w:before="60"/>
        <w:ind w:leftChars="550" w:left="1840" w:hangingChars="200" w:hanging="520"/>
        <w:rPr>
          <w:sz w:val="26"/>
        </w:rPr>
      </w:pPr>
      <w:r w:rsidRPr="00E74B80">
        <w:rPr>
          <w:rFonts w:hint="eastAsia"/>
          <w:sz w:val="26"/>
        </w:rPr>
        <w:t>六、不得對未經目的事業主管機關核准募集之基金，預為宣傳廣告、公開說明會</w:t>
      </w:r>
      <w:r w:rsidRPr="00E74B80">
        <w:rPr>
          <w:rFonts w:hAnsi="標楷體" w:hint="eastAsia"/>
          <w:sz w:val="26"/>
        </w:rPr>
        <w:t>、業務招攬</w:t>
      </w:r>
      <w:r w:rsidRPr="00E74B80">
        <w:rPr>
          <w:rFonts w:hint="eastAsia"/>
          <w:sz w:val="26"/>
        </w:rPr>
        <w:t>及</w:t>
      </w:r>
      <w:r w:rsidRPr="00E74B80">
        <w:rPr>
          <w:rFonts w:hAnsi="標楷體" w:hint="eastAsia"/>
          <w:bCs/>
          <w:sz w:val="26"/>
        </w:rPr>
        <w:t>營業</w:t>
      </w:r>
      <w:r w:rsidRPr="00E74B80">
        <w:rPr>
          <w:rFonts w:hint="eastAsia"/>
          <w:sz w:val="26"/>
        </w:rPr>
        <w:t>促銷</w:t>
      </w:r>
      <w:r w:rsidRPr="00E74B80">
        <w:rPr>
          <w:rFonts w:hAnsi="標楷體" w:hint="eastAsia"/>
          <w:bCs/>
          <w:sz w:val="26"/>
        </w:rPr>
        <w:t>活動</w:t>
      </w:r>
      <w:r w:rsidRPr="00E74B80">
        <w:rPr>
          <w:rFonts w:hint="eastAsia"/>
          <w:sz w:val="26"/>
        </w:rPr>
        <w:t>。</w:t>
      </w:r>
    </w:p>
    <w:p w:rsidR="004D6C5D" w:rsidRPr="00E74B80" w:rsidRDefault="004D6C5D" w:rsidP="004D6C5D">
      <w:pPr>
        <w:pStyle w:val="a9"/>
        <w:spacing w:before="60"/>
        <w:ind w:leftChars="550" w:left="1840" w:hangingChars="200" w:hanging="520"/>
        <w:rPr>
          <w:sz w:val="26"/>
        </w:rPr>
      </w:pPr>
      <w:r w:rsidRPr="00E74B80">
        <w:rPr>
          <w:rFonts w:hint="eastAsia"/>
          <w:sz w:val="26"/>
        </w:rPr>
        <w:t>七、</w:t>
      </w:r>
      <w:r w:rsidRPr="00E74B80">
        <w:rPr>
          <w:rFonts w:hAnsi="標楷體" w:hint="eastAsia"/>
          <w:spacing w:val="4"/>
          <w:sz w:val="26"/>
        </w:rPr>
        <w:t>基金廣告宣傳文件之</w:t>
      </w:r>
      <w:r w:rsidRPr="00E74B80">
        <w:rPr>
          <w:rFonts w:hint="eastAsia"/>
          <w:sz w:val="26"/>
        </w:rPr>
        <w:t>內容不得違反法令、期貨信託契約或基金公開說明書內容。</w:t>
      </w:r>
    </w:p>
    <w:p w:rsidR="004D6C5D" w:rsidRPr="00E74B80" w:rsidRDefault="004D6C5D" w:rsidP="004D6C5D">
      <w:pPr>
        <w:pStyle w:val="a9"/>
        <w:spacing w:before="60"/>
        <w:ind w:leftChars="550" w:left="1840" w:hangingChars="200" w:hanging="520"/>
        <w:rPr>
          <w:sz w:val="26"/>
        </w:rPr>
      </w:pPr>
      <w:r w:rsidRPr="00E74B80">
        <w:rPr>
          <w:rFonts w:hint="eastAsia"/>
          <w:sz w:val="26"/>
        </w:rPr>
        <w:t>八、不得以基金經理人作為宣傳廣告之主要訴求或標題。</w:t>
      </w:r>
    </w:p>
    <w:p w:rsidR="004D6C5D" w:rsidRPr="00E74B80" w:rsidRDefault="004D6C5D" w:rsidP="004D6C5D">
      <w:pPr>
        <w:pStyle w:val="a9"/>
        <w:spacing w:before="60"/>
        <w:ind w:leftChars="550" w:left="1840" w:hangingChars="200" w:hanging="520"/>
        <w:rPr>
          <w:sz w:val="26"/>
        </w:rPr>
      </w:pPr>
      <w:r w:rsidRPr="00E74B80">
        <w:rPr>
          <w:rFonts w:hint="eastAsia"/>
          <w:sz w:val="26"/>
        </w:rPr>
        <w:t>九、不得為期貨信託基金績效之預測。</w:t>
      </w:r>
    </w:p>
    <w:p w:rsidR="004D6C5D" w:rsidRPr="00E74B80" w:rsidRDefault="004D6C5D" w:rsidP="004D6C5D">
      <w:pPr>
        <w:pStyle w:val="a9"/>
        <w:spacing w:before="60"/>
        <w:ind w:leftChars="550" w:left="1840" w:hangingChars="200" w:hanging="520"/>
        <w:rPr>
          <w:sz w:val="26"/>
        </w:rPr>
      </w:pPr>
      <w:r w:rsidRPr="00E74B80">
        <w:rPr>
          <w:rFonts w:hint="eastAsia"/>
          <w:sz w:val="26"/>
        </w:rPr>
        <w:t>十、促銷期貨信託基金，不得涉及對新臺幣匯率走勢之臆測。</w:t>
      </w:r>
    </w:p>
    <w:p w:rsidR="004D6C5D" w:rsidRPr="00E74B80" w:rsidRDefault="004D6C5D" w:rsidP="004D6C5D">
      <w:pPr>
        <w:pStyle w:val="a9"/>
        <w:spacing w:before="60"/>
        <w:ind w:leftChars="550" w:left="1840" w:hangingChars="200" w:hanging="520"/>
        <w:rPr>
          <w:rFonts w:hAnsi="標楷體"/>
          <w:sz w:val="26"/>
        </w:rPr>
      </w:pPr>
      <w:r w:rsidRPr="00E74B80">
        <w:rPr>
          <w:rFonts w:hint="eastAsia"/>
          <w:sz w:val="26"/>
        </w:rPr>
        <w:t>十一、</w:t>
      </w:r>
      <w:r w:rsidRPr="00E74B80">
        <w:rPr>
          <w:rFonts w:hAnsi="標楷體" w:hint="eastAsia"/>
          <w:spacing w:val="4"/>
          <w:sz w:val="26"/>
        </w:rPr>
        <w:t>基金廣告宣傳文件之</w:t>
      </w:r>
      <w:r w:rsidRPr="00E74B80">
        <w:rPr>
          <w:rFonts w:hint="eastAsia"/>
          <w:sz w:val="26"/>
        </w:rPr>
        <w:t>內容不得採用可能貶低整體行業聲譽</w:t>
      </w:r>
      <w:r w:rsidRPr="00E74B80">
        <w:rPr>
          <w:rFonts w:hAnsi="標楷體" w:hint="eastAsia"/>
          <w:sz w:val="26"/>
        </w:rPr>
        <w:t>或損害同</w:t>
      </w:r>
    </w:p>
    <w:p w:rsidR="004D6C5D" w:rsidRPr="00E74B80" w:rsidRDefault="004D6C5D" w:rsidP="004D6C5D">
      <w:pPr>
        <w:pStyle w:val="a9"/>
        <w:spacing w:before="60"/>
        <w:ind w:leftChars="766" w:left="1838" w:firstLineChars="100" w:firstLine="260"/>
        <w:rPr>
          <w:sz w:val="26"/>
        </w:rPr>
      </w:pPr>
      <w:r w:rsidRPr="00E74B80">
        <w:rPr>
          <w:rFonts w:hAnsi="標楷體" w:hint="eastAsia"/>
          <w:sz w:val="26"/>
        </w:rPr>
        <w:t>業營業信譽</w:t>
      </w:r>
      <w:r w:rsidRPr="00E74B80">
        <w:rPr>
          <w:rFonts w:hint="eastAsia"/>
          <w:sz w:val="26"/>
        </w:rPr>
        <w:t>之方式作宣傳。</w:t>
      </w:r>
    </w:p>
    <w:p w:rsidR="004D6C5D" w:rsidRPr="00E74B80" w:rsidRDefault="004D6C5D" w:rsidP="004D6C5D">
      <w:pPr>
        <w:pStyle w:val="a9"/>
        <w:spacing w:before="60"/>
        <w:ind w:leftChars="550" w:left="2100" w:hangingChars="300" w:hanging="780"/>
        <w:rPr>
          <w:sz w:val="26"/>
        </w:rPr>
      </w:pPr>
      <w:r w:rsidRPr="00E74B80">
        <w:rPr>
          <w:rFonts w:hint="eastAsia"/>
          <w:sz w:val="26"/>
        </w:rPr>
        <w:t>十二、</w:t>
      </w:r>
      <w:r w:rsidRPr="00E74B80">
        <w:rPr>
          <w:rFonts w:hAnsi="標楷體" w:hint="eastAsia"/>
          <w:spacing w:val="4"/>
          <w:sz w:val="26"/>
        </w:rPr>
        <w:t>基金廣告宣傳文件之</w:t>
      </w:r>
      <w:r w:rsidRPr="00E74B80">
        <w:rPr>
          <w:rFonts w:hint="eastAsia"/>
          <w:sz w:val="26"/>
        </w:rPr>
        <w:t>內容不得與銷售文件內容不符</w:t>
      </w:r>
      <w:r w:rsidRPr="00E74B80">
        <w:rPr>
          <w:rFonts w:hAnsi="標楷體" w:hint="eastAsia"/>
          <w:spacing w:val="4"/>
          <w:sz w:val="26"/>
        </w:rPr>
        <w:t>、</w:t>
      </w:r>
      <w:r w:rsidRPr="00E74B80">
        <w:rPr>
          <w:rFonts w:hint="eastAsia"/>
          <w:sz w:val="26"/>
        </w:rPr>
        <w:t>或</w:t>
      </w:r>
      <w:r w:rsidRPr="00E74B80">
        <w:rPr>
          <w:rFonts w:hAnsi="標楷體" w:hint="eastAsia"/>
          <w:spacing w:val="4"/>
          <w:sz w:val="26"/>
        </w:rPr>
        <w:t>載有</w:t>
      </w:r>
      <w:r w:rsidRPr="00E74B80">
        <w:rPr>
          <w:rFonts w:hint="eastAsia"/>
          <w:sz w:val="26"/>
        </w:rPr>
        <w:t>不雅之文字、美術稿或圖案設計。</w:t>
      </w:r>
    </w:p>
    <w:p w:rsidR="004D6C5D" w:rsidRPr="00E74B80" w:rsidRDefault="004D6C5D" w:rsidP="004D6C5D">
      <w:pPr>
        <w:pStyle w:val="a9"/>
        <w:spacing w:before="60"/>
        <w:ind w:leftChars="550" w:left="1840" w:hangingChars="200" w:hanging="520"/>
        <w:rPr>
          <w:sz w:val="26"/>
        </w:rPr>
      </w:pPr>
      <w:r w:rsidRPr="00E74B80">
        <w:rPr>
          <w:rFonts w:hint="eastAsia"/>
          <w:sz w:val="26"/>
        </w:rPr>
        <w:t>十三、期貨信託基金不得以「無折價風險」等相類詞語作為廣告。</w:t>
      </w:r>
    </w:p>
    <w:p w:rsidR="004D6C5D" w:rsidRPr="00E74B80" w:rsidRDefault="004D6C5D" w:rsidP="004D6C5D">
      <w:pPr>
        <w:pStyle w:val="a9"/>
        <w:spacing w:before="60"/>
        <w:ind w:leftChars="550" w:left="2100" w:hangingChars="300" w:hanging="780"/>
        <w:rPr>
          <w:sz w:val="26"/>
        </w:rPr>
      </w:pPr>
      <w:r w:rsidRPr="00E74B80">
        <w:rPr>
          <w:rFonts w:hint="eastAsia"/>
          <w:sz w:val="26"/>
        </w:rPr>
        <w:t>十四、不得以銷售費或經理費收入為捐贈或與投資人權益無關之詞語為訴求。</w:t>
      </w:r>
    </w:p>
    <w:p w:rsidR="004D6C5D" w:rsidRPr="00E74B80" w:rsidRDefault="004D6C5D" w:rsidP="004D6C5D">
      <w:pPr>
        <w:pStyle w:val="a9"/>
        <w:spacing w:before="60"/>
        <w:ind w:leftChars="550" w:left="1840" w:hangingChars="200" w:hanging="520"/>
        <w:rPr>
          <w:sz w:val="26"/>
        </w:rPr>
      </w:pPr>
      <w:r w:rsidRPr="00E74B80">
        <w:rPr>
          <w:rFonts w:hint="eastAsia"/>
          <w:sz w:val="26"/>
        </w:rPr>
        <w:t>十五、不得截取報章雜誌之報導作為廣告內容。</w:t>
      </w:r>
    </w:p>
    <w:p w:rsidR="004D6C5D" w:rsidRPr="00E74B80" w:rsidRDefault="004D6C5D" w:rsidP="004D6C5D">
      <w:pPr>
        <w:pStyle w:val="a9"/>
        <w:spacing w:before="60"/>
        <w:ind w:leftChars="550" w:left="1840" w:hangingChars="200" w:hanging="520"/>
        <w:rPr>
          <w:sz w:val="26"/>
        </w:rPr>
      </w:pPr>
      <w:r w:rsidRPr="00E74B80">
        <w:rPr>
          <w:rFonts w:hint="eastAsia"/>
          <w:sz w:val="26"/>
        </w:rPr>
        <w:t>十六、不得以採訪投資人之方式來廣告促銷基金。</w:t>
      </w:r>
    </w:p>
    <w:p w:rsidR="004D6C5D" w:rsidRPr="00E74B80" w:rsidRDefault="004D6C5D" w:rsidP="004D6C5D">
      <w:pPr>
        <w:pStyle w:val="a9"/>
        <w:spacing w:before="60"/>
        <w:ind w:leftChars="550" w:left="2100" w:hangingChars="300" w:hanging="780"/>
        <w:rPr>
          <w:sz w:val="26"/>
        </w:rPr>
      </w:pPr>
      <w:r w:rsidRPr="00E74B80">
        <w:rPr>
          <w:rFonts w:hint="eastAsia"/>
          <w:sz w:val="26"/>
        </w:rPr>
        <w:t>十七、以獲利或配息率為廣告者，應以衡平及顯著之方式同時</w:t>
      </w:r>
      <w:r w:rsidRPr="00E74B80">
        <w:rPr>
          <w:rFonts w:hint="eastAsia"/>
          <w:spacing w:val="4"/>
          <w:sz w:val="26"/>
        </w:rPr>
        <w:t>揭露</w:t>
      </w:r>
      <w:r w:rsidRPr="00E74B80">
        <w:rPr>
          <w:rFonts w:hint="eastAsia"/>
          <w:sz w:val="26"/>
        </w:rPr>
        <w:t>其</w:t>
      </w:r>
      <w:r w:rsidRPr="00E74B80">
        <w:rPr>
          <w:rFonts w:hint="eastAsia"/>
          <w:spacing w:val="4"/>
          <w:sz w:val="26"/>
        </w:rPr>
        <w:t>相對之</w:t>
      </w:r>
      <w:r w:rsidRPr="00E74B80">
        <w:rPr>
          <w:rFonts w:hint="eastAsia"/>
          <w:sz w:val="26"/>
        </w:rPr>
        <w:t>風險</w:t>
      </w:r>
      <w:r w:rsidRPr="00E74B80">
        <w:rPr>
          <w:rFonts w:hint="eastAsia"/>
          <w:spacing w:val="4"/>
          <w:sz w:val="26"/>
        </w:rPr>
        <w:t>；揭露前述資訊時，並</w:t>
      </w:r>
      <w:r w:rsidRPr="00E74B80">
        <w:rPr>
          <w:rFonts w:hint="eastAsia"/>
          <w:sz w:val="26"/>
        </w:rPr>
        <w:t>應本於誠實信用原則，以投資人能充</w:t>
      </w:r>
    </w:p>
    <w:p w:rsidR="004D6C5D" w:rsidRPr="00E74B80" w:rsidRDefault="004D6C5D" w:rsidP="004D6C5D">
      <w:pPr>
        <w:pStyle w:val="a9"/>
        <w:spacing w:before="60"/>
        <w:ind w:leftChars="874" w:left="2098"/>
        <w:rPr>
          <w:sz w:val="26"/>
        </w:rPr>
      </w:pPr>
      <w:r w:rsidRPr="00E74B80">
        <w:rPr>
          <w:rFonts w:hint="eastAsia"/>
          <w:sz w:val="26"/>
        </w:rPr>
        <w:t>分瞭解之方式為之。</w:t>
      </w:r>
    </w:p>
    <w:p w:rsidR="004D6C5D" w:rsidRPr="00E74B80" w:rsidRDefault="004D6C5D" w:rsidP="004D6C5D">
      <w:pPr>
        <w:pStyle w:val="a9"/>
        <w:spacing w:before="60"/>
        <w:ind w:leftChars="550" w:left="1840" w:hangingChars="200" w:hanging="520"/>
        <w:rPr>
          <w:sz w:val="26"/>
        </w:rPr>
      </w:pPr>
      <w:r w:rsidRPr="00E74B80">
        <w:rPr>
          <w:rFonts w:hint="eastAsia"/>
          <w:sz w:val="26"/>
        </w:rPr>
        <w:t>十八、不得以配息比率為廣告文宣之主要標題。</w:t>
      </w:r>
    </w:p>
    <w:p w:rsidR="004D6C5D" w:rsidRPr="00E74B80" w:rsidRDefault="004D6C5D" w:rsidP="004D6C5D">
      <w:pPr>
        <w:pStyle w:val="a9"/>
        <w:spacing w:before="60"/>
        <w:ind w:leftChars="550" w:left="1840" w:hangingChars="200" w:hanging="520"/>
        <w:rPr>
          <w:sz w:val="26"/>
        </w:rPr>
      </w:pPr>
      <w:r w:rsidRPr="00E74B80">
        <w:rPr>
          <w:rFonts w:hint="eastAsia"/>
          <w:sz w:val="26"/>
        </w:rPr>
        <w:t>十九、不得使用優於定存、打敗通膨等相類之詞語為訴求。</w:t>
      </w:r>
    </w:p>
    <w:p w:rsidR="004D6C5D" w:rsidRPr="00E74B80" w:rsidRDefault="004D6C5D" w:rsidP="004D6C5D">
      <w:pPr>
        <w:pStyle w:val="a9"/>
        <w:spacing w:before="60"/>
        <w:ind w:leftChars="550" w:left="1840" w:hangingChars="200" w:hanging="520"/>
        <w:rPr>
          <w:sz w:val="26"/>
        </w:rPr>
      </w:pPr>
      <w:r w:rsidRPr="00E74B80">
        <w:rPr>
          <w:rFonts w:hint="eastAsia"/>
          <w:sz w:val="26"/>
        </w:rPr>
        <w:t>二十、有關免稅之說明，應載明或說明係何種對象、何種內容免稅。</w:t>
      </w:r>
    </w:p>
    <w:p w:rsidR="004D6C5D" w:rsidRPr="00E74B80" w:rsidRDefault="004D6C5D" w:rsidP="004D6C5D">
      <w:pPr>
        <w:pStyle w:val="a9"/>
        <w:spacing w:before="60"/>
        <w:ind w:leftChars="550" w:left="2360" w:hangingChars="400" w:hanging="1040"/>
        <w:rPr>
          <w:sz w:val="26"/>
        </w:rPr>
      </w:pPr>
      <w:r w:rsidRPr="00E74B80">
        <w:rPr>
          <w:rFonts w:hint="eastAsia"/>
          <w:sz w:val="26"/>
        </w:rPr>
        <w:t>二十一、以基金信用評等等級為廣告</w:t>
      </w:r>
      <w:r w:rsidRPr="00E74B80">
        <w:rPr>
          <w:rFonts w:hAnsi="標楷體" w:hint="eastAsia"/>
          <w:sz w:val="26"/>
        </w:rPr>
        <w:t>、業務招攬或</w:t>
      </w:r>
      <w:r w:rsidRPr="00E74B80">
        <w:rPr>
          <w:rFonts w:hAnsi="標楷體" w:hint="eastAsia"/>
          <w:bCs/>
          <w:sz w:val="26"/>
        </w:rPr>
        <w:t>營業</w:t>
      </w:r>
      <w:r w:rsidRPr="00E74B80">
        <w:rPr>
          <w:rFonts w:hint="eastAsia"/>
          <w:sz w:val="26"/>
        </w:rPr>
        <w:t>促銷</w:t>
      </w:r>
      <w:r w:rsidRPr="00E74B80">
        <w:rPr>
          <w:rFonts w:hAnsi="標楷體" w:hint="eastAsia"/>
          <w:bCs/>
          <w:sz w:val="26"/>
        </w:rPr>
        <w:t>文宣</w:t>
      </w:r>
      <w:r w:rsidRPr="00E74B80">
        <w:rPr>
          <w:rFonts w:hint="eastAsia"/>
          <w:sz w:val="26"/>
        </w:rPr>
        <w:t>內容（含已成立或目的事業主管機關核准募集但尚未成立之基金）時，應以顯著方式註明該基金所獲得信用評等之性質及未成立基金應註明該基金尚未成立。</w:t>
      </w:r>
    </w:p>
    <w:p w:rsidR="004D6C5D" w:rsidRPr="00E74B80" w:rsidRDefault="004D6C5D" w:rsidP="004D6C5D">
      <w:pPr>
        <w:pStyle w:val="a9"/>
        <w:spacing w:before="0" w:line="240" w:lineRule="auto"/>
        <w:ind w:leftChars="413" w:left="991" w:firstLineChars="100" w:firstLine="268"/>
        <w:rPr>
          <w:sz w:val="26"/>
        </w:rPr>
      </w:pPr>
      <w:r w:rsidRPr="00E74B80">
        <w:rPr>
          <w:rFonts w:hint="eastAsia"/>
          <w:spacing w:val="4"/>
          <w:sz w:val="26"/>
        </w:rPr>
        <w:t>二十二、基金銷售文件之用語應</w:t>
      </w:r>
      <w:r w:rsidRPr="00E74B80">
        <w:rPr>
          <w:rFonts w:hint="eastAsia"/>
          <w:sz w:val="26"/>
        </w:rPr>
        <w:t>以中文表達，並力求淺顯易懂，必要時得</w:t>
      </w:r>
    </w:p>
    <w:p w:rsidR="004D6C5D" w:rsidRPr="00E74B80" w:rsidRDefault="004D6C5D" w:rsidP="004D6C5D">
      <w:pPr>
        <w:pStyle w:val="a9"/>
        <w:spacing w:before="0" w:line="240" w:lineRule="auto"/>
        <w:ind w:leftChars="413" w:left="991" w:firstLineChars="500" w:firstLine="1300"/>
        <w:rPr>
          <w:sz w:val="26"/>
        </w:rPr>
      </w:pPr>
      <w:r w:rsidRPr="00E74B80">
        <w:rPr>
          <w:rFonts w:hint="eastAsia"/>
          <w:sz w:val="26"/>
        </w:rPr>
        <w:t>附註原文。</w:t>
      </w:r>
    </w:p>
    <w:p w:rsidR="004D6C5D" w:rsidRPr="00E74B80" w:rsidRDefault="004D6C5D" w:rsidP="004D6C5D">
      <w:pPr>
        <w:pStyle w:val="a9"/>
        <w:spacing w:before="60"/>
        <w:ind w:leftChars="550" w:left="2392" w:hangingChars="400" w:hanging="1072"/>
        <w:rPr>
          <w:sz w:val="26"/>
        </w:rPr>
      </w:pPr>
      <w:r w:rsidRPr="00E74B80">
        <w:rPr>
          <w:rFonts w:hint="eastAsia"/>
          <w:spacing w:val="4"/>
          <w:sz w:val="26"/>
        </w:rPr>
        <w:t>二十三、基金銷售文件必須編印</w:t>
      </w:r>
      <w:r w:rsidRPr="00E74B80">
        <w:rPr>
          <w:rFonts w:hint="eastAsia"/>
          <w:sz w:val="26"/>
        </w:rPr>
        <w:t>頁碼或以適當方式，俾供投資人確認是否</w:t>
      </w:r>
    </w:p>
    <w:p w:rsidR="004D6C5D" w:rsidRPr="00E74B80" w:rsidRDefault="004D6C5D" w:rsidP="004D6C5D">
      <w:pPr>
        <w:pStyle w:val="a9"/>
        <w:spacing w:before="60"/>
        <w:ind w:leftChars="982" w:left="2357"/>
        <w:rPr>
          <w:sz w:val="26"/>
        </w:rPr>
      </w:pPr>
      <w:r w:rsidRPr="00E74B80">
        <w:rPr>
          <w:rFonts w:hint="eastAsia"/>
          <w:sz w:val="26"/>
        </w:rPr>
        <w:t>已接收完整訊息。</w:t>
      </w:r>
    </w:p>
    <w:p w:rsidR="004D6C5D" w:rsidRPr="00E74B80" w:rsidRDefault="004D6C5D" w:rsidP="004D6C5D">
      <w:pPr>
        <w:pStyle w:val="a9"/>
        <w:spacing w:before="60"/>
        <w:ind w:leftChars="550" w:left="2328" w:hangingChars="400" w:hanging="1008"/>
        <w:rPr>
          <w:sz w:val="26"/>
        </w:rPr>
      </w:pPr>
      <w:r w:rsidRPr="00E74B80">
        <w:rPr>
          <w:rFonts w:hint="eastAsia"/>
          <w:spacing w:val="-4"/>
          <w:sz w:val="26"/>
        </w:rPr>
        <w:t>二十四、</w:t>
      </w:r>
      <w:r w:rsidRPr="00E74B80">
        <w:rPr>
          <w:rFonts w:hint="eastAsia"/>
          <w:sz w:val="26"/>
        </w:rPr>
        <w:t>基金銷售文件中，應標明已備有公開說明書或投資人須知及可供</w:t>
      </w:r>
    </w:p>
    <w:p w:rsidR="004D6C5D" w:rsidRPr="00E74B80" w:rsidRDefault="004D6C5D" w:rsidP="004D6C5D">
      <w:pPr>
        <w:pStyle w:val="a9"/>
        <w:spacing w:before="60"/>
        <w:ind w:leftChars="970" w:left="2328"/>
        <w:rPr>
          <w:sz w:val="26"/>
        </w:rPr>
      </w:pPr>
      <w:r w:rsidRPr="00E74B80">
        <w:rPr>
          <w:rFonts w:hint="eastAsia"/>
          <w:sz w:val="26"/>
        </w:rPr>
        <w:t>索閱之處所或可供查閱之方式。</w:t>
      </w:r>
    </w:p>
    <w:p w:rsidR="004D6C5D" w:rsidRPr="00E74B80" w:rsidRDefault="004D6C5D" w:rsidP="004D6C5D">
      <w:pPr>
        <w:pStyle w:val="a9"/>
        <w:spacing w:before="60"/>
        <w:ind w:leftChars="550" w:left="2392" w:hangingChars="400" w:hanging="1072"/>
        <w:rPr>
          <w:sz w:val="26"/>
        </w:rPr>
      </w:pPr>
      <w:r w:rsidRPr="00E74B80">
        <w:rPr>
          <w:rFonts w:hint="eastAsia"/>
          <w:bCs/>
          <w:spacing w:val="4"/>
          <w:sz w:val="26"/>
        </w:rPr>
        <w:t>二十五、</w:t>
      </w:r>
      <w:r w:rsidRPr="00E74B80">
        <w:rPr>
          <w:rFonts w:hint="eastAsia"/>
          <w:sz w:val="26"/>
        </w:rPr>
        <w:t>銷售文件中有提及投資人直接應付之費用（含手續費前收或後收型基金之申購手續費、基金短線交易應付之買回費用或其他費用等）時，應清楚標示收取方式；以及應揭示「有關基金應負擔之費用已揭露於基金之公開說明書或投資人須知中，投資人可至期信基金資訊觀測站中查詢」之相類資訊。</w:t>
      </w:r>
    </w:p>
    <w:p w:rsidR="004D6C5D" w:rsidRPr="00E74B80" w:rsidRDefault="004D6C5D" w:rsidP="004D6C5D">
      <w:pPr>
        <w:pStyle w:val="a9"/>
        <w:spacing w:before="60"/>
        <w:ind w:leftChars="550" w:left="2392" w:hangingChars="400" w:hanging="1072"/>
        <w:rPr>
          <w:sz w:val="26"/>
        </w:rPr>
      </w:pPr>
      <w:r w:rsidRPr="00E74B80">
        <w:rPr>
          <w:rFonts w:hint="eastAsia"/>
          <w:spacing w:val="4"/>
          <w:sz w:val="26"/>
        </w:rPr>
        <w:t>二十六、</w:t>
      </w:r>
      <w:r w:rsidRPr="00E74B80">
        <w:rPr>
          <w:rFonts w:hint="eastAsia"/>
          <w:sz w:val="26"/>
        </w:rPr>
        <w:t>對投資人須支付基金分銷費用之基金，應於銷售文件、廣告或</w:t>
      </w:r>
      <w:r w:rsidRPr="00E74B80">
        <w:rPr>
          <w:rFonts w:hAnsi="標楷體" w:hint="eastAsia"/>
          <w:sz w:val="26"/>
        </w:rPr>
        <w:t>業務招攬文宣</w:t>
      </w:r>
      <w:r w:rsidRPr="00E74B80">
        <w:rPr>
          <w:rFonts w:hint="eastAsia"/>
          <w:sz w:val="26"/>
        </w:rPr>
        <w:t>內容中以顯著方式揭露分銷費用反映於每日基金淨資產價值及其約占比例之資訊或請投資人詳閱公開說明書查詢上開資訊。</w:t>
      </w:r>
    </w:p>
    <w:p w:rsidR="004D6C5D" w:rsidRPr="00E74B80" w:rsidRDefault="004D6C5D" w:rsidP="004D6C5D">
      <w:pPr>
        <w:pStyle w:val="a9"/>
        <w:spacing w:before="60"/>
        <w:ind w:leftChars="550" w:left="2392" w:hangingChars="400" w:hanging="1072"/>
        <w:rPr>
          <w:sz w:val="26"/>
        </w:rPr>
      </w:pPr>
      <w:r w:rsidRPr="00E74B80">
        <w:rPr>
          <w:rFonts w:hint="eastAsia"/>
          <w:spacing w:val="4"/>
          <w:sz w:val="26"/>
        </w:rPr>
        <w:t>二十七、</w:t>
      </w:r>
      <w:r w:rsidRPr="00E74B80">
        <w:rPr>
          <w:rFonts w:hint="eastAsia"/>
          <w:sz w:val="26"/>
        </w:rPr>
        <w:t>申購手續費屬後收型之基金，不得以免收申購手續費為廣告</w:t>
      </w:r>
      <w:r w:rsidRPr="00E74B80">
        <w:rPr>
          <w:rFonts w:hAnsi="標楷體" w:hint="eastAsia"/>
          <w:sz w:val="26"/>
        </w:rPr>
        <w:t>、業務招攬或</w:t>
      </w:r>
      <w:r w:rsidRPr="00E74B80">
        <w:rPr>
          <w:rFonts w:hAnsi="標楷體" w:hint="eastAsia"/>
          <w:bCs/>
          <w:sz w:val="26"/>
        </w:rPr>
        <w:t>營業促銷活動之</w:t>
      </w:r>
      <w:r w:rsidRPr="00E74B80">
        <w:rPr>
          <w:rFonts w:hint="eastAsia"/>
          <w:sz w:val="26"/>
        </w:rPr>
        <w:t>主要訴求，且應揭露遞延手續費之收取方式或請投資人詳閱公開說明書查詢上開資訊。</w:t>
      </w:r>
    </w:p>
    <w:p w:rsidR="004D6C5D" w:rsidRPr="00E74B80" w:rsidRDefault="004D6C5D" w:rsidP="004D6C5D">
      <w:pPr>
        <w:pStyle w:val="a9"/>
        <w:spacing w:before="60"/>
        <w:ind w:leftChars="550" w:left="2392" w:hangingChars="400" w:hanging="1072"/>
        <w:rPr>
          <w:sz w:val="26"/>
        </w:rPr>
      </w:pPr>
      <w:r w:rsidRPr="00E74B80">
        <w:rPr>
          <w:rFonts w:hint="eastAsia"/>
          <w:spacing w:val="4"/>
          <w:sz w:val="26"/>
        </w:rPr>
        <w:t>二十八、從事廣告</w:t>
      </w:r>
      <w:r w:rsidRPr="00E74B80">
        <w:rPr>
          <w:rFonts w:hAnsi="標楷體" w:hint="eastAsia"/>
          <w:spacing w:val="4"/>
          <w:sz w:val="26"/>
        </w:rPr>
        <w:t>、業務招攬或</w:t>
      </w:r>
      <w:r w:rsidRPr="00E74B80">
        <w:rPr>
          <w:rFonts w:hAnsi="標楷體" w:hint="eastAsia"/>
          <w:bCs/>
          <w:sz w:val="26"/>
        </w:rPr>
        <w:t>營業促銷活動</w:t>
      </w:r>
      <w:r w:rsidRPr="00E74B80">
        <w:rPr>
          <w:rFonts w:hint="eastAsia"/>
          <w:sz w:val="26"/>
        </w:rPr>
        <w:t>所製發之書面文件，</w:t>
      </w:r>
      <w:bookmarkStart w:id="0" w:name="OLE_LINK1"/>
      <w:r w:rsidRPr="00E74B80">
        <w:rPr>
          <w:rFonts w:hint="eastAsia"/>
          <w:sz w:val="26"/>
        </w:rPr>
        <w:t>應</w:t>
      </w:r>
      <w:bookmarkEnd w:id="0"/>
      <w:r w:rsidRPr="00E74B80">
        <w:rPr>
          <w:rFonts w:hint="eastAsia"/>
          <w:sz w:val="26"/>
        </w:rPr>
        <w:t>列明公司登記名稱、地址、電話及許可證照或營業執照字號。</w:t>
      </w:r>
    </w:p>
    <w:p w:rsidR="004D6C5D" w:rsidRPr="00E74B80" w:rsidRDefault="004D6C5D" w:rsidP="004D6C5D">
      <w:pPr>
        <w:pStyle w:val="a9"/>
        <w:spacing w:before="60"/>
        <w:ind w:leftChars="550" w:left="2392" w:hangingChars="400" w:hanging="1072"/>
        <w:rPr>
          <w:sz w:val="26"/>
        </w:rPr>
      </w:pPr>
      <w:r w:rsidRPr="00E74B80">
        <w:rPr>
          <w:rFonts w:hint="eastAsia"/>
          <w:spacing w:val="4"/>
          <w:sz w:val="26"/>
        </w:rPr>
        <w:t>二十九、</w:t>
      </w:r>
      <w:r w:rsidRPr="00E74B80">
        <w:rPr>
          <w:rFonts w:hint="eastAsia"/>
          <w:sz w:val="26"/>
        </w:rPr>
        <w:t>專供理財專員使用之基金文宣資料，不得放置於櫃台或文宣資料區提供投資人自行取閱。</w:t>
      </w:r>
    </w:p>
    <w:p w:rsidR="004D6C5D" w:rsidRPr="00E74B80" w:rsidRDefault="004D6C5D" w:rsidP="004D6C5D">
      <w:pPr>
        <w:pStyle w:val="a9"/>
        <w:spacing w:before="60"/>
        <w:ind w:leftChars="550" w:left="2392" w:hangingChars="400" w:hanging="1072"/>
        <w:rPr>
          <w:rFonts w:hAnsi="標楷體"/>
          <w:sz w:val="26"/>
        </w:rPr>
      </w:pPr>
      <w:r w:rsidRPr="00E74B80">
        <w:rPr>
          <w:rFonts w:hint="eastAsia"/>
          <w:spacing w:val="4"/>
          <w:sz w:val="26"/>
        </w:rPr>
        <w:t>三十、</w:t>
      </w:r>
      <w:r w:rsidRPr="00E74B80">
        <w:rPr>
          <w:rFonts w:hAnsi="標楷體" w:hint="eastAsia"/>
          <w:sz w:val="26"/>
        </w:rPr>
        <w:t>對符合一定資格條件之人募集期貨信託基金，於招募及銷售期間，</w:t>
      </w:r>
    </w:p>
    <w:p w:rsidR="004D6C5D" w:rsidRPr="00E74B80" w:rsidRDefault="004D6C5D" w:rsidP="004D6C5D">
      <w:pPr>
        <w:pStyle w:val="a9"/>
        <w:spacing w:before="60"/>
        <w:ind w:leftChars="886" w:left="2386" w:hangingChars="100" w:hanging="260"/>
        <w:rPr>
          <w:sz w:val="26"/>
        </w:rPr>
      </w:pPr>
      <w:r w:rsidRPr="00E74B80">
        <w:rPr>
          <w:rFonts w:hAnsi="標楷體" w:hint="eastAsia"/>
          <w:sz w:val="26"/>
        </w:rPr>
        <w:t>不得為一般性廣告、業務招攬、</w:t>
      </w:r>
      <w:r w:rsidRPr="00E74B80">
        <w:rPr>
          <w:rFonts w:hAnsi="標楷體" w:hint="eastAsia"/>
          <w:bCs/>
          <w:sz w:val="26"/>
        </w:rPr>
        <w:t>營業促銷活動</w:t>
      </w:r>
      <w:r w:rsidRPr="00E74B80">
        <w:rPr>
          <w:rFonts w:hAnsi="標楷體" w:hint="eastAsia"/>
          <w:sz w:val="26"/>
        </w:rPr>
        <w:t>或公開勸誘之行為。</w:t>
      </w:r>
    </w:p>
    <w:p w:rsidR="004D6C5D" w:rsidRPr="00E74B80" w:rsidRDefault="004D6C5D" w:rsidP="004D6C5D">
      <w:pPr>
        <w:pStyle w:val="a9"/>
        <w:spacing w:before="60"/>
        <w:ind w:leftChars="550" w:left="2392" w:hangingChars="400" w:hanging="1072"/>
        <w:rPr>
          <w:sz w:val="26"/>
        </w:rPr>
      </w:pPr>
      <w:r w:rsidRPr="00E74B80">
        <w:rPr>
          <w:rFonts w:hint="eastAsia"/>
          <w:spacing w:val="4"/>
          <w:sz w:val="26"/>
        </w:rPr>
        <w:t>三十一、</w:t>
      </w:r>
      <w:r w:rsidRPr="00E74B80">
        <w:rPr>
          <w:rFonts w:hint="eastAsia"/>
          <w:sz w:val="26"/>
        </w:rPr>
        <w:t>不得為</w:t>
      </w:r>
      <w:r w:rsidRPr="00E74B80">
        <w:rPr>
          <w:rFonts w:hAnsi="標楷體" w:hint="eastAsia"/>
          <w:sz w:val="24"/>
        </w:rPr>
        <w:t>其他影響事業經營或投資人權益之事項。</w:t>
      </w:r>
    </w:p>
    <w:p w:rsidR="004D6C5D" w:rsidRPr="00E74B80" w:rsidRDefault="004D6C5D" w:rsidP="004D6C5D">
      <w:pPr>
        <w:spacing w:before="60"/>
        <w:ind w:leftChars="550" w:left="1856" w:hangingChars="200" w:hanging="536"/>
        <w:jc w:val="both"/>
        <w:rPr>
          <w:rFonts w:eastAsia="標楷體"/>
          <w:sz w:val="26"/>
        </w:rPr>
      </w:pPr>
      <w:r w:rsidRPr="00E74B80">
        <w:rPr>
          <w:rFonts w:eastAsia="標楷體" w:hint="eastAsia"/>
          <w:spacing w:val="4"/>
          <w:sz w:val="26"/>
        </w:rPr>
        <w:t>三十二、</w:t>
      </w:r>
      <w:r w:rsidRPr="00E74B80">
        <w:rPr>
          <w:rFonts w:eastAsia="標楷體" w:hint="eastAsia"/>
          <w:sz w:val="26"/>
        </w:rPr>
        <w:t>不得為其他經目的事業主管機關禁止之行為。</w:t>
      </w:r>
    </w:p>
    <w:p w:rsidR="004D6C5D" w:rsidRDefault="004D6C5D" w:rsidP="004D6C5D">
      <w:pPr>
        <w:pStyle w:val="a9"/>
        <w:ind w:left="1300" w:hangingChars="500" w:hanging="1300"/>
        <w:rPr>
          <w:rFonts w:ascii="Arial" w:hAnsi="Arial" w:cs="Arial"/>
          <w:color w:val="0000FF"/>
          <w:kern w:val="0"/>
          <w:sz w:val="26"/>
          <w:szCs w:val="26"/>
          <w:u w:val="single"/>
        </w:rPr>
      </w:pPr>
      <w:r w:rsidRPr="00255A46">
        <w:rPr>
          <w:rFonts w:ascii="Arial" w:hAnsi="Arial" w:cs="Arial" w:hint="eastAsia"/>
          <w:color w:val="0000FF"/>
          <w:kern w:val="0"/>
          <w:sz w:val="26"/>
          <w:szCs w:val="26"/>
          <w:u w:val="single"/>
        </w:rPr>
        <w:t>第六條之一期貨信託事業及基金銷售機構與常態性於網路分享資訊者</w:t>
      </w:r>
      <w:r w:rsidRPr="00572BB6">
        <w:rPr>
          <w:rFonts w:hAnsi="標楷體" w:cs="Arial" w:hint="eastAsia"/>
          <w:color w:val="0000FF"/>
          <w:kern w:val="0"/>
          <w:sz w:val="26"/>
          <w:szCs w:val="26"/>
          <w:u w:val="single"/>
        </w:rPr>
        <w:t>(</w:t>
      </w:r>
      <w:r w:rsidRPr="00255A46">
        <w:rPr>
          <w:rFonts w:ascii="Arial" w:hAnsi="Arial" w:cs="Arial" w:hint="eastAsia"/>
          <w:color w:val="0000FF"/>
          <w:kern w:val="0"/>
          <w:sz w:val="26"/>
          <w:szCs w:val="26"/>
          <w:u w:val="single"/>
        </w:rPr>
        <w:t>以下稱網紅）</w:t>
      </w:r>
      <w:r w:rsidRPr="00813A76">
        <w:rPr>
          <w:rFonts w:ascii="Arial" w:hAnsi="Arial" w:cs="Arial" w:hint="eastAsia"/>
          <w:color w:val="0000FF"/>
          <w:u w:val="single"/>
        </w:rPr>
        <w:t>，</w:t>
      </w:r>
      <w:r w:rsidRPr="00BC4F49">
        <w:rPr>
          <w:rFonts w:ascii="Arial" w:hAnsi="Arial" w:cs="Arial" w:hint="eastAsia"/>
          <w:color w:val="0000FF"/>
          <w:kern w:val="0"/>
          <w:sz w:val="26"/>
          <w:szCs w:val="26"/>
          <w:u w:val="single"/>
        </w:rPr>
        <w:t>就期貨信託基金從事廣告及營業活動</w:t>
      </w:r>
      <w:r w:rsidRPr="00255A46">
        <w:rPr>
          <w:rFonts w:ascii="Arial" w:hAnsi="Arial" w:cs="Arial" w:hint="eastAsia"/>
          <w:color w:val="0000FF"/>
          <w:kern w:val="0"/>
          <w:sz w:val="26"/>
          <w:szCs w:val="26"/>
          <w:u w:val="single"/>
        </w:rPr>
        <w:t>，另應遵守下列事項</w:t>
      </w:r>
      <w:r>
        <w:rPr>
          <w:rFonts w:ascii="Arial" w:hAnsi="Arial" w:cs="Arial" w:hint="eastAsia"/>
          <w:color w:val="0000FF"/>
          <w:kern w:val="0"/>
          <w:sz w:val="26"/>
          <w:szCs w:val="26"/>
          <w:u w:val="single"/>
        </w:rPr>
        <w:t>：</w:t>
      </w:r>
    </w:p>
    <w:p w:rsidR="004D6C5D" w:rsidRPr="00255A46" w:rsidRDefault="004D6C5D" w:rsidP="004D6C5D">
      <w:pPr>
        <w:pStyle w:val="ad"/>
        <w:tabs>
          <w:tab w:val="clear" w:pos="332"/>
        </w:tabs>
        <w:spacing w:before="60"/>
        <w:ind w:leftChars="550" w:left="1840" w:hangingChars="200" w:hanging="520"/>
        <w:jc w:val="both"/>
        <w:rPr>
          <w:rFonts w:ascii="Arial" w:hAnsi="Arial" w:cs="Arial"/>
          <w:color w:val="0000FF"/>
          <w:kern w:val="0"/>
          <w:sz w:val="26"/>
          <w:szCs w:val="26"/>
          <w:u w:val="single"/>
        </w:rPr>
      </w:pPr>
      <w:r w:rsidRPr="00255A46">
        <w:rPr>
          <w:rFonts w:ascii="Arial" w:hAnsi="Arial" w:cs="Arial"/>
          <w:color w:val="0000FF"/>
          <w:kern w:val="0"/>
          <w:sz w:val="26"/>
          <w:szCs w:val="26"/>
          <w:u w:val="single"/>
        </w:rPr>
        <w:t>一、</w:t>
      </w:r>
      <w:r w:rsidRPr="00255A46">
        <w:rPr>
          <w:rFonts w:ascii="Arial" w:hAnsi="Arial" w:cs="Arial" w:hint="eastAsia"/>
          <w:color w:val="0000FF"/>
          <w:kern w:val="0"/>
          <w:sz w:val="26"/>
          <w:szCs w:val="26"/>
          <w:u w:val="single"/>
        </w:rPr>
        <w:t>確認網紅取得期貨信託事業管理規則第四十八條第一項所列資格之一。</w:t>
      </w:r>
    </w:p>
    <w:p w:rsidR="004D6C5D" w:rsidRPr="00255A46" w:rsidRDefault="004D6C5D" w:rsidP="004D6C5D">
      <w:pPr>
        <w:pStyle w:val="ad"/>
        <w:tabs>
          <w:tab w:val="clear" w:pos="332"/>
        </w:tabs>
        <w:spacing w:before="60"/>
        <w:ind w:leftChars="550" w:left="1840" w:hangingChars="200" w:hanging="520"/>
        <w:jc w:val="both"/>
        <w:rPr>
          <w:rFonts w:ascii="Arial" w:hAnsi="Arial" w:cs="Arial"/>
          <w:color w:val="0000FF"/>
          <w:kern w:val="0"/>
          <w:sz w:val="26"/>
          <w:szCs w:val="26"/>
          <w:u w:val="single"/>
        </w:rPr>
      </w:pPr>
      <w:r w:rsidRPr="00255A46">
        <w:rPr>
          <w:rFonts w:ascii="Arial" w:hAnsi="Arial" w:cs="Arial"/>
          <w:color w:val="0000FF"/>
          <w:kern w:val="0"/>
          <w:sz w:val="26"/>
          <w:szCs w:val="26"/>
          <w:u w:val="single"/>
        </w:rPr>
        <w:t>二、</w:t>
      </w:r>
      <w:r w:rsidRPr="00255A46">
        <w:rPr>
          <w:rFonts w:ascii="Arial" w:hAnsi="Arial" w:cs="Arial" w:hint="eastAsia"/>
          <w:color w:val="0000FF"/>
          <w:kern w:val="0"/>
          <w:sz w:val="26"/>
          <w:szCs w:val="26"/>
          <w:u w:val="single"/>
        </w:rPr>
        <w:t>雙方應簽訂契約，該契約除依會員暨</w:t>
      </w:r>
      <w:r w:rsidRPr="00255A46">
        <w:rPr>
          <w:rFonts w:ascii="Arial" w:hAnsi="Arial" w:cs="Arial"/>
          <w:color w:val="0000FF"/>
          <w:kern w:val="0"/>
          <w:sz w:val="26"/>
          <w:szCs w:val="26"/>
          <w:u w:val="single"/>
        </w:rPr>
        <w:t>期貨信託基金銷售機構</w:t>
      </w:r>
      <w:r w:rsidRPr="00255A46">
        <w:rPr>
          <w:rFonts w:ascii="Arial" w:hAnsi="Arial" w:cs="Arial" w:hint="eastAsia"/>
          <w:color w:val="0000FF"/>
          <w:kern w:val="0"/>
          <w:sz w:val="26"/>
          <w:szCs w:val="26"/>
          <w:u w:val="single"/>
        </w:rPr>
        <w:t>從事廣告業務招攬及營業促銷活動管理辦法第五條之一第三項規定明訂就合作事項雙方應遵守之條款外，另應包括但不限於下列條款：</w:t>
      </w:r>
    </w:p>
    <w:p w:rsidR="004D6C5D" w:rsidRPr="00255A46" w:rsidRDefault="004D6C5D" w:rsidP="004D6C5D">
      <w:pPr>
        <w:pStyle w:val="ad"/>
        <w:tabs>
          <w:tab w:val="clear" w:pos="332"/>
        </w:tabs>
        <w:spacing w:before="0"/>
        <w:ind w:leftChars="750" w:left="2320" w:hangingChars="200" w:hanging="520"/>
        <w:jc w:val="both"/>
        <w:rPr>
          <w:rFonts w:ascii="Arial" w:hAnsi="Arial" w:cs="Arial"/>
          <w:color w:val="0000FF"/>
          <w:kern w:val="0"/>
          <w:sz w:val="26"/>
          <w:szCs w:val="26"/>
          <w:u w:val="single"/>
        </w:rPr>
      </w:pPr>
      <w:r w:rsidRPr="00255A46">
        <w:rPr>
          <w:rFonts w:hAnsi="標楷體" w:cs="Arial" w:hint="eastAsia"/>
          <w:color w:val="0000FF"/>
          <w:kern w:val="0"/>
          <w:sz w:val="26"/>
          <w:szCs w:val="26"/>
          <w:u w:val="single"/>
        </w:rPr>
        <w:t>(一)</w:t>
      </w:r>
      <w:r w:rsidRPr="00255A46">
        <w:rPr>
          <w:rFonts w:ascii="Arial" w:hAnsi="Arial" w:cs="Arial" w:hint="eastAsia"/>
          <w:color w:val="0000FF"/>
          <w:kern w:val="0"/>
          <w:sz w:val="26"/>
          <w:szCs w:val="26"/>
          <w:u w:val="single"/>
        </w:rPr>
        <w:t>網紅所發表之資訊內容，應依基金公開說明書所載之內容說明，並同時敘明風險。</w:t>
      </w:r>
    </w:p>
    <w:p w:rsidR="004D6C5D" w:rsidRPr="00255A46" w:rsidRDefault="004D6C5D" w:rsidP="004D6C5D">
      <w:pPr>
        <w:pStyle w:val="ad"/>
        <w:tabs>
          <w:tab w:val="clear" w:pos="332"/>
        </w:tabs>
        <w:spacing w:before="0"/>
        <w:ind w:leftChars="750" w:left="2320" w:hangingChars="200" w:hanging="520"/>
        <w:jc w:val="both"/>
        <w:rPr>
          <w:rFonts w:hAnsi="標楷體" w:cs="Arial"/>
          <w:color w:val="0000FF"/>
          <w:kern w:val="0"/>
          <w:sz w:val="26"/>
          <w:szCs w:val="26"/>
          <w:u w:val="single"/>
        </w:rPr>
      </w:pPr>
      <w:r w:rsidRPr="00255A46">
        <w:rPr>
          <w:rFonts w:hAnsi="標楷體" w:cs="Arial" w:hint="eastAsia"/>
          <w:color w:val="0000FF"/>
          <w:kern w:val="0"/>
          <w:sz w:val="26"/>
          <w:szCs w:val="26"/>
          <w:u w:val="single"/>
        </w:rPr>
        <w:t>(二)網紅所發表之資訊內容，應揭示或說明「非分析意見及推介建議」之警語。</w:t>
      </w:r>
    </w:p>
    <w:p w:rsidR="004D6C5D" w:rsidRPr="00255A46" w:rsidRDefault="004D6C5D" w:rsidP="004D6C5D">
      <w:pPr>
        <w:pStyle w:val="ad"/>
        <w:tabs>
          <w:tab w:val="clear" w:pos="332"/>
        </w:tabs>
        <w:spacing w:before="0"/>
        <w:ind w:leftChars="750" w:left="2320" w:hangingChars="200" w:hanging="520"/>
        <w:jc w:val="both"/>
        <w:rPr>
          <w:rFonts w:hAnsi="標楷體" w:cs="Arial"/>
          <w:color w:val="0000FF"/>
          <w:kern w:val="0"/>
          <w:sz w:val="26"/>
          <w:szCs w:val="26"/>
          <w:u w:val="single"/>
        </w:rPr>
      </w:pPr>
      <w:r w:rsidRPr="00255A46">
        <w:rPr>
          <w:rFonts w:hAnsi="標楷體" w:cs="Arial" w:hint="eastAsia"/>
          <w:color w:val="0000FF"/>
          <w:kern w:val="0"/>
          <w:sz w:val="26"/>
          <w:szCs w:val="26"/>
          <w:u w:val="single"/>
        </w:rPr>
        <w:t>(三)網紅所發表之資訊內容，進行基金之付費置入性行銷廣告者，網紅應依第八條第十款規定辦理。</w:t>
      </w:r>
      <w:r w:rsidRPr="00011843">
        <w:rPr>
          <w:rFonts w:hAnsi="標楷體" w:cs="標楷體" w:hint="eastAsia"/>
          <w:color w:val="0000FF"/>
          <w:kern w:val="0"/>
          <w:sz w:val="24"/>
          <w:szCs w:val="23"/>
          <w:u w:val="single"/>
        </w:rPr>
        <w:t>前述基金之付費置入性行銷廣告，若以影片製播</w:t>
      </w:r>
      <w:r w:rsidRPr="00011843">
        <w:rPr>
          <w:rFonts w:hAnsi="標楷體" w:hint="eastAsia"/>
          <w:color w:val="0000FF"/>
          <w:sz w:val="24"/>
          <w:szCs w:val="23"/>
          <w:u w:val="single"/>
        </w:rPr>
        <w:t>者，應以持續性方式於畫面中明顯揭露「○○公司廣告文宣」、「○○公司行銷資訊」、或「○○公司贊助播出」等相類詞語，使投資人可清楚識別其為廣告行銷資訊。</w:t>
      </w:r>
    </w:p>
    <w:p w:rsidR="004D6C5D" w:rsidRPr="00255A46" w:rsidRDefault="004D6C5D" w:rsidP="004D6C5D">
      <w:pPr>
        <w:pStyle w:val="ad"/>
        <w:tabs>
          <w:tab w:val="clear" w:pos="332"/>
        </w:tabs>
        <w:spacing w:before="60"/>
        <w:ind w:leftChars="550" w:left="1840" w:hangingChars="200" w:hanging="520"/>
        <w:jc w:val="both"/>
        <w:rPr>
          <w:sz w:val="26"/>
          <w:szCs w:val="26"/>
        </w:rPr>
      </w:pPr>
      <w:r w:rsidRPr="00255A46">
        <w:rPr>
          <w:rFonts w:ascii="Arial" w:hAnsi="Arial" w:cs="Arial" w:hint="eastAsia"/>
          <w:color w:val="0000FF"/>
          <w:kern w:val="0"/>
          <w:sz w:val="26"/>
          <w:szCs w:val="26"/>
          <w:u w:val="single"/>
        </w:rPr>
        <w:t>三、</w:t>
      </w:r>
      <w:r>
        <w:rPr>
          <w:rFonts w:ascii="Arial" w:hAnsi="Arial" w:cs="Arial" w:hint="eastAsia"/>
          <w:color w:val="0000FF"/>
          <w:kern w:val="0"/>
          <w:sz w:val="26"/>
          <w:szCs w:val="26"/>
          <w:u w:val="single"/>
        </w:rPr>
        <w:t>期貨</w:t>
      </w:r>
      <w:r w:rsidRPr="00255A46">
        <w:rPr>
          <w:rFonts w:ascii="Arial" w:hAnsi="Arial" w:cs="Arial" w:hint="eastAsia"/>
          <w:color w:val="0000FF"/>
          <w:kern w:val="0"/>
          <w:sz w:val="26"/>
          <w:szCs w:val="26"/>
          <w:u w:val="single"/>
        </w:rPr>
        <w:t>信託事業及基金銷售機構與網紅合作事實發生後十日內，應向本公會申報與網紅合作之廣告及營業活動等相關資料。</w:t>
      </w:r>
    </w:p>
    <w:p w:rsidR="004D6C5D" w:rsidRPr="00E74B80" w:rsidRDefault="004D6C5D" w:rsidP="004D6C5D">
      <w:pPr>
        <w:pStyle w:val="a9"/>
        <w:ind w:left="1300" w:hangingChars="500" w:hanging="1300"/>
        <w:rPr>
          <w:sz w:val="26"/>
        </w:rPr>
      </w:pPr>
      <w:r w:rsidRPr="00E74B80">
        <w:rPr>
          <w:rFonts w:hint="eastAsia"/>
          <w:sz w:val="26"/>
        </w:rPr>
        <w:t>第七條　　保本型基金依有無設立保證機構區分為保證型基金及保護型基金，期貨信託事業及基金銷售機構於從事該基金之廣告、公開說明會</w:t>
      </w:r>
      <w:r w:rsidRPr="00E74B80">
        <w:rPr>
          <w:rFonts w:hAnsi="標楷體" w:hint="eastAsia"/>
          <w:sz w:val="26"/>
        </w:rPr>
        <w:t>、業務招攬</w:t>
      </w:r>
      <w:r w:rsidRPr="00E74B80">
        <w:rPr>
          <w:rFonts w:hint="eastAsia"/>
          <w:sz w:val="26"/>
        </w:rPr>
        <w:t>及營業</w:t>
      </w:r>
      <w:r w:rsidRPr="00E74B80">
        <w:rPr>
          <w:rFonts w:hAnsi="標楷體" w:cs="細明體" w:hint="eastAsia"/>
          <w:kern w:val="0"/>
          <w:sz w:val="26"/>
        </w:rPr>
        <w:t>促銷</w:t>
      </w:r>
      <w:r w:rsidRPr="00E74B80">
        <w:rPr>
          <w:rFonts w:hint="eastAsia"/>
          <w:sz w:val="26"/>
        </w:rPr>
        <w:t>活動時，除應遵守前條規定外，並須符合下列原則：</w:t>
      </w:r>
    </w:p>
    <w:p w:rsidR="004D6C5D" w:rsidRPr="00E74B80" w:rsidRDefault="004D6C5D" w:rsidP="004D6C5D">
      <w:pPr>
        <w:pStyle w:val="ad"/>
        <w:tabs>
          <w:tab w:val="clear" w:pos="332"/>
        </w:tabs>
        <w:spacing w:before="60"/>
        <w:ind w:leftChars="550" w:left="1320" w:firstLineChars="0" w:firstLine="0"/>
        <w:jc w:val="both"/>
        <w:rPr>
          <w:sz w:val="26"/>
        </w:rPr>
      </w:pPr>
      <w:r w:rsidRPr="00E74B80">
        <w:rPr>
          <w:rFonts w:hint="eastAsia"/>
          <w:sz w:val="26"/>
        </w:rPr>
        <w:t>一、銷售文件應揭露下列事項：</w:t>
      </w:r>
    </w:p>
    <w:p w:rsidR="004D6C5D" w:rsidRPr="00E74B80" w:rsidRDefault="004D6C5D" w:rsidP="004D6C5D">
      <w:pPr>
        <w:pStyle w:val="ad"/>
        <w:tabs>
          <w:tab w:val="clear" w:pos="332"/>
        </w:tabs>
        <w:spacing w:before="0"/>
        <w:ind w:leftChars="750" w:left="2320" w:hangingChars="200" w:hanging="520"/>
        <w:jc w:val="both"/>
        <w:rPr>
          <w:sz w:val="26"/>
        </w:rPr>
      </w:pPr>
      <w:r w:rsidRPr="00E74B80">
        <w:rPr>
          <w:rFonts w:hAnsi="標楷體" w:cs="細明體" w:hint="eastAsia"/>
          <w:kern w:val="0"/>
          <w:sz w:val="26"/>
        </w:rPr>
        <w:t>(一)</w:t>
      </w:r>
      <w:r w:rsidRPr="00E74B80">
        <w:rPr>
          <w:rFonts w:hint="eastAsia"/>
          <w:sz w:val="26"/>
        </w:rPr>
        <w:t>保證型基金之有關保證機構資料：保證機構名稱、業務性質及有關其財務狀況資料（例如：股本、總資產淨值或股東資金），以及其信用評等或其他有關資料。</w:t>
      </w:r>
    </w:p>
    <w:p w:rsidR="004D6C5D" w:rsidRPr="00E74B80" w:rsidRDefault="004D6C5D" w:rsidP="004D6C5D">
      <w:pPr>
        <w:pStyle w:val="ad"/>
        <w:tabs>
          <w:tab w:val="clear" w:pos="332"/>
        </w:tabs>
        <w:spacing w:before="0"/>
        <w:ind w:leftChars="750" w:left="2320" w:hangingChars="200" w:hanging="520"/>
        <w:jc w:val="both"/>
        <w:rPr>
          <w:sz w:val="26"/>
        </w:rPr>
      </w:pPr>
      <w:r w:rsidRPr="00E74B80">
        <w:rPr>
          <w:rFonts w:hAnsi="標楷體" w:cs="細明體" w:hint="eastAsia"/>
          <w:kern w:val="0"/>
          <w:sz w:val="26"/>
        </w:rPr>
        <w:t>(二)</w:t>
      </w:r>
      <w:r w:rsidRPr="00E74B80">
        <w:rPr>
          <w:rFonts w:hint="eastAsia"/>
          <w:sz w:val="26"/>
        </w:rPr>
        <w:t>保證型基金之有關該項保證資料：該項保證之條款，包括該項保證適用範圍及有效性，以及可能導致該項保證終止之情事，並舉例說明用以清楚表示有關的保證機制，以及高於保證金額之潛在回報計算方法。</w:t>
      </w:r>
    </w:p>
    <w:p w:rsidR="004D6C5D" w:rsidRPr="00E74B80" w:rsidRDefault="004D6C5D" w:rsidP="004D6C5D">
      <w:pPr>
        <w:pStyle w:val="ad"/>
        <w:tabs>
          <w:tab w:val="clear" w:pos="332"/>
        </w:tabs>
        <w:spacing w:before="0"/>
        <w:ind w:leftChars="750" w:left="2320" w:hangingChars="200" w:hanging="520"/>
        <w:jc w:val="both"/>
        <w:rPr>
          <w:sz w:val="26"/>
        </w:rPr>
      </w:pPr>
      <w:r w:rsidRPr="00E74B80">
        <w:rPr>
          <w:rFonts w:hAnsi="標楷體" w:cs="細明體" w:hint="eastAsia"/>
          <w:kern w:val="0"/>
          <w:sz w:val="26"/>
        </w:rPr>
        <w:t>(三)</w:t>
      </w:r>
      <w:r w:rsidRPr="00E74B80">
        <w:rPr>
          <w:rFonts w:hint="eastAsia"/>
          <w:sz w:val="26"/>
        </w:rPr>
        <w:t>保護型未設立保證機構，應載明本基金無提供保證機構保證之機制，係透過投資工具達成保護本金之功能，亦不得使用保證、安全、無風險等類似文字。</w:t>
      </w:r>
    </w:p>
    <w:p w:rsidR="004D6C5D" w:rsidRPr="00E74B80" w:rsidRDefault="004D6C5D" w:rsidP="004D6C5D">
      <w:pPr>
        <w:pStyle w:val="ad"/>
        <w:tabs>
          <w:tab w:val="clear" w:pos="332"/>
        </w:tabs>
        <w:spacing w:before="0"/>
        <w:ind w:leftChars="0" w:left="1800" w:firstLineChars="0" w:firstLine="0"/>
        <w:jc w:val="both"/>
        <w:rPr>
          <w:sz w:val="26"/>
        </w:rPr>
      </w:pPr>
      <w:r w:rsidRPr="00E74B80">
        <w:rPr>
          <w:rFonts w:hAnsi="標楷體" w:cs="細明體" w:hint="eastAsia"/>
          <w:kern w:val="0"/>
          <w:sz w:val="26"/>
        </w:rPr>
        <w:t>(四)</w:t>
      </w:r>
      <w:r w:rsidRPr="00E74B80">
        <w:rPr>
          <w:rFonts w:hint="eastAsia"/>
          <w:sz w:val="26"/>
        </w:rPr>
        <w:t>相關投資連結標的性質之詳細說明。</w:t>
      </w:r>
    </w:p>
    <w:p w:rsidR="004D6C5D" w:rsidRPr="00E74B80" w:rsidRDefault="004D6C5D" w:rsidP="004D6C5D">
      <w:pPr>
        <w:pStyle w:val="ad"/>
        <w:tabs>
          <w:tab w:val="clear" w:pos="332"/>
        </w:tabs>
        <w:spacing w:before="0"/>
        <w:ind w:leftChars="750" w:left="2320" w:hangingChars="200" w:hanging="520"/>
        <w:jc w:val="both"/>
        <w:rPr>
          <w:sz w:val="26"/>
        </w:rPr>
      </w:pPr>
      <w:r w:rsidRPr="00E74B80">
        <w:rPr>
          <w:rFonts w:hAnsi="標楷體" w:cs="細明體" w:hint="eastAsia"/>
          <w:kern w:val="0"/>
          <w:sz w:val="26"/>
        </w:rPr>
        <w:t>(五)</w:t>
      </w:r>
      <w:r w:rsidRPr="00E74B80">
        <w:rPr>
          <w:rFonts w:hint="eastAsia"/>
          <w:sz w:val="26"/>
        </w:rPr>
        <w:t>應註明實際參與率，與所列出作為參考的參考比率可能會有所不同，並說明實際參與率將於何時釐定及以何種方式通知投資人或基金受益人。</w:t>
      </w:r>
    </w:p>
    <w:p w:rsidR="004D6C5D" w:rsidRPr="00E74B80" w:rsidRDefault="004D6C5D" w:rsidP="004D6C5D">
      <w:pPr>
        <w:pStyle w:val="ad"/>
        <w:tabs>
          <w:tab w:val="clear" w:pos="332"/>
        </w:tabs>
        <w:spacing w:before="0"/>
        <w:ind w:leftChars="750" w:left="2320" w:hangingChars="200" w:hanging="520"/>
        <w:jc w:val="both"/>
        <w:rPr>
          <w:sz w:val="26"/>
        </w:rPr>
      </w:pPr>
      <w:r w:rsidRPr="00E74B80">
        <w:rPr>
          <w:rFonts w:hAnsi="標楷體" w:cs="細明體" w:hint="eastAsia"/>
          <w:kern w:val="0"/>
          <w:sz w:val="26"/>
        </w:rPr>
        <w:t>(六)</w:t>
      </w:r>
      <w:r w:rsidRPr="00E74B80">
        <w:rPr>
          <w:rFonts w:hint="eastAsia"/>
          <w:sz w:val="26"/>
        </w:rPr>
        <w:t>應於投資人須知或公開說明書（或其中譯本）之封面以顯著方式標明基金之保本比率及基金類型（保證型或保護型）。</w:t>
      </w:r>
    </w:p>
    <w:p w:rsidR="004D6C5D" w:rsidRPr="00E74B80" w:rsidRDefault="004D6C5D" w:rsidP="004D6C5D">
      <w:pPr>
        <w:pStyle w:val="ad"/>
        <w:tabs>
          <w:tab w:val="clear" w:pos="332"/>
        </w:tabs>
        <w:spacing w:before="60"/>
        <w:ind w:leftChars="550" w:left="1320" w:firstLineChars="0" w:firstLine="0"/>
        <w:jc w:val="both"/>
        <w:rPr>
          <w:sz w:val="26"/>
        </w:rPr>
      </w:pPr>
      <w:r w:rsidRPr="00E74B80">
        <w:rPr>
          <w:rFonts w:hint="eastAsia"/>
          <w:sz w:val="26"/>
        </w:rPr>
        <w:t>二</w:t>
      </w:r>
      <w:r w:rsidRPr="00E74B80">
        <w:rPr>
          <w:sz w:val="26"/>
        </w:rPr>
        <w:t>、</w:t>
      </w:r>
      <w:r w:rsidRPr="00E74B80">
        <w:rPr>
          <w:rFonts w:hint="eastAsia"/>
          <w:sz w:val="26"/>
        </w:rPr>
        <w:t>廣告文宣內容應以顯著顏色及字體方式，揭露下列事項</w:t>
      </w:r>
      <w:r w:rsidRPr="00E74B80">
        <w:rPr>
          <w:sz w:val="26"/>
        </w:rPr>
        <w:t>：</w:t>
      </w:r>
    </w:p>
    <w:p w:rsidR="004D6C5D" w:rsidRPr="00E74B80" w:rsidRDefault="004D6C5D" w:rsidP="004D6C5D">
      <w:pPr>
        <w:pStyle w:val="ad"/>
        <w:tabs>
          <w:tab w:val="clear" w:pos="332"/>
        </w:tabs>
        <w:spacing w:before="60"/>
        <w:ind w:leftChars="0" w:left="1800" w:firstLineChars="0" w:firstLine="0"/>
        <w:jc w:val="both"/>
        <w:rPr>
          <w:sz w:val="26"/>
        </w:rPr>
      </w:pPr>
      <w:r w:rsidRPr="00E74B80">
        <w:rPr>
          <w:rFonts w:hAnsi="標楷體" w:cs="細明體" w:hint="eastAsia"/>
          <w:kern w:val="0"/>
          <w:sz w:val="26"/>
        </w:rPr>
        <w:t>(一)</w:t>
      </w:r>
      <w:r w:rsidRPr="00E74B80">
        <w:rPr>
          <w:rFonts w:hint="eastAsia"/>
          <w:sz w:val="26"/>
        </w:rPr>
        <w:t>依基金類型：</w:t>
      </w:r>
    </w:p>
    <w:p w:rsidR="004D6C5D" w:rsidRPr="00E74B80" w:rsidRDefault="004D6C5D" w:rsidP="004D6C5D">
      <w:pPr>
        <w:pStyle w:val="ad"/>
        <w:tabs>
          <w:tab w:val="clear" w:pos="332"/>
          <w:tab w:val="num" w:pos="706"/>
        </w:tabs>
        <w:spacing w:before="0"/>
        <w:ind w:leftChars="378" w:left="907" w:firstLineChars="597" w:firstLine="1552"/>
        <w:jc w:val="both"/>
        <w:rPr>
          <w:sz w:val="26"/>
        </w:rPr>
      </w:pPr>
      <w:r w:rsidRPr="00E74B80">
        <w:rPr>
          <w:rFonts w:hAnsi="標楷體" w:cs="細明體" w:hint="eastAsia"/>
          <w:kern w:val="0"/>
          <w:sz w:val="26"/>
        </w:rPr>
        <w:t>１、</w:t>
      </w:r>
      <w:r w:rsidRPr="00E74B80">
        <w:rPr>
          <w:rFonts w:hint="eastAsia"/>
          <w:sz w:val="26"/>
        </w:rPr>
        <w:t>保證型基金：基金類型、保證機構名稱、保證期間及保本比</w:t>
      </w:r>
    </w:p>
    <w:p w:rsidR="004D6C5D" w:rsidRPr="00E74B80" w:rsidRDefault="004D6C5D" w:rsidP="004D6C5D">
      <w:pPr>
        <w:pStyle w:val="ad"/>
        <w:tabs>
          <w:tab w:val="clear" w:pos="332"/>
          <w:tab w:val="num" w:pos="706"/>
        </w:tabs>
        <w:spacing w:before="0"/>
        <w:ind w:leftChars="378" w:left="907" w:firstLineChars="796" w:firstLine="2070"/>
        <w:jc w:val="both"/>
        <w:rPr>
          <w:sz w:val="26"/>
        </w:rPr>
      </w:pPr>
      <w:r w:rsidRPr="00E74B80">
        <w:rPr>
          <w:rFonts w:hint="eastAsia"/>
          <w:sz w:val="26"/>
        </w:rPr>
        <w:t>率。</w:t>
      </w:r>
    </w:p>
    <w:p w:rsidR="004D6C5D" w:rsidRPr="00E74B80" w:rsidRDefault="004D6C5D" w:rsidP="004D6C5D">
      <w:pPr>
        <w:pStyle w:val="ad"/>
        <w:tabs>
          <w:tab w:val="clear" w:pos="332"/>
          <w:tab w:val="num" w:pos="706"/>
        </w:tabs>
        <w:spacing w:before="0"/>
        <w:ind w:leftChars="880" w:left="2398" w:hangingChars="110" w:hanging="286"/>
        <w:jc w:val="both"/>
        <w:rPr>
          <w:sz w:val="26"/>
        </w:rPr>
      </w:pPr>
      <w:r w:rsidRPr="00E74B80">
        <w:rPr>
          <w:rFonts w:hAnsi="標楷體" w:cs="細明體" w:hint="eastAsia"/>
          <w:kern w:val="0"/>
          <w:sz w:val="26"/>
        </w:rPr>
        <w:t>２、</w:t>
      </w:r>
      <w:r w:rsidRPr="00E74B80">
        <w:rPr>
          <w:rFonts w:hint="eastAsia"/>
          <w:sz w:val="26"/>
        </w:rPr>
        <w:t>保護型基金：基金類型、保本期間、保本比率及「本基金無提</w:t>
      </w:r>
    </w:p>
    <w:p w:rsidR="004D6C5D" w:rsidRPr="00E74B80" w:rsidRDefault="004D6C5D" w:rsidP="004D6C5D">
      <w:pPr>
        <w:pStyle w:val="ad"/>
        <w:tabs>
          <w:tab w:val="clear" w:pos="332"/>
          <w:tab w:val="num" w:pos="706"/>
        </w:tabs>
        <w:spacing w:before="0"/>
        <w:ind w:leftChars="999" w:left="2398" w:firstLineChars="100" w:firstLine="260"/>
        <w:jc w:val="both"/>
        <w:rPr>
          <w:sz w:val="26"/>
        </w:rPr>
      </w:pPr>
      <w:r w:rsidRPr="00E74B80">
        <w:rPr>
          <w:rFonts w:hint="eastAsia"/>
          <w:sz w:val="26"/>
        </w:rPr>
        <w:t>供保證機構保證之機制，係透過投資工具達成保護本金之功</w:t>
      </w:r>
    </w:p>
    <w:p w:rsidR="004D6C5D" w:rsidRPr="00E74B80" w:rsidRDefault="004D6C5D" w:rsidP="004D6C5D">
      <w:pPr>
        <w:pStyle w:val="ad"/>
        <w:tabs>
          <w:tab w:val="clear" w:pos="332"/>
          <w:tab w:val="num" w:pos="706"/>
        </w:tabs>
        <w:spacing w:before="0"/>
        <w:ind w:leftChars="999" w:left="2398" w:firstLineChars="100" w:firstLine="260"/>
        <w:jc w:val="both"/>
        <w:rPr>
          <w:sz w:val="26"/>
        </w:rPr>
      </w:pPr>
      <w:r w:rsidRPr="00E74B80">
        <w:rPr>
          <w:rFonts w:hint="eastAsia"/>
          <w:sz w:val="26"/>
        </w:rPr>
        <w:t>能」用語。</w:t>
      </w:r>
    </w:p>
    <w:p w:rsidR="004D6C5D" w:rsidRPr="00E74B80" w:rsidRDefault="004D6C5D" w:rsidP="004D6C5D">
      <w:pPr>
        <w:pStyle w:val="ad"/>
        <w:tabs>
          <w:tab w:val="clear" w:pos="332"/>
          <w:tab w:val="num" w:pos="706"/>
        </w:tabs>
        <w:spacing w:before="0"/>
        <w:ind w:leftChars="999" w:left="2398" w:firstLineChars="100" w:firstLine="260"/>
        <w:jc w:val="both"/>
        <w:rPr>
          <w:sz w:val="26"/>
        </w:rPr>
      </w:pPr>
    </w:p>
    <w:p w:rsidR="004D6C5D" w:rsidRPr="00E74B80" w:rsidRDefault="004D6C5D" w:rsidP="004D6C5D">
      <w:pPr>
        <w:pStyle w:val="ad"/>
        <w:tabs>
          <w:tab w:val="clear" w:pos="332"/>
        </w:tabs>
        <w:spacing w:before="0"/>
        <w:ind w:leftChars="0" w:left="1800" w:firstLineChars="0" w:firstLine="0"/>
        <w:jc w:val="both"/>
        <w:rPr>
          <w:sz w:val="26"/>
        </w:rPr>
      </w:pPr>
      <w:r w:rsidRPr="00E74B80">
        <w:rPr>
          <w:rFonts w:hAnsi="標楷體" w:cs="細明體" w:hint="eastAsia"/>
          <w:kern w:val="0"/>
          <w:sz w:val="26"/>
        </w:rPr>
        <w:t>(二)</w:t>
      </w:r>
      <w:r w:rsidRPr="00E74B80">
        <w:rPr>
          <w:rFonts w:hint="eastAsia"/>
          <w:sz w:val="26"/>
        </w:rPr>
        <w:t>依基金類型加註第八條第一項之警語內容。</w:t>
      </w:r>
    </w:p>
    <w:p w:rsidR="004D6C5D" w:rsidRPr="00E74B80" w:rsidRDefault="004D6C5D" w:rsidP="004D6C5D">
      <w:pPr>
        <w:ind w:left="1800"/>
        <w:jc w:val="both"/>
        <w:rPr>
          <w:rFonts w:ascii="標楷體" w:eastAsia="標楷體"/>
          <w:sz w:val="26"/>
        </w:rPr>
      </w:pPr>
      <w:r w:rsidRPr="00E74B80">
        <w:rPr>
          <w:rFonts w:ascii="標楷體" w:eastAsia="標楷體" w:hAnsi="標楷體" w:cs="細明體" w:hint="eastAsia"/>
          <w:bCs/>
          <w:sz w:val="26"/>
        </w:rPr>
        <w:t>(三)</w:t>
      </w:r>
      <w:r w:rsidRPr="00E74B80">
        <w:rPr>
          <w:rFonts w:ascii="標楷體" w:eastAsia="標楷體" w:hint="eastAsia"/>
          <w:sz w:val="26"/>
        </w:rPr>
        <w:t>如有引用參考性參考比率，應列明參考日期並註明實際參與率與</w:t>
      </w:r>
    </w:p>
    <w:p w:rsidR="004D6C5D" w:rsidRPr="00E74B80" w:rsidRDefault="004D6C5D" w:rsidP="004D6C5D">
      <w:pPr>
        <w:ind w:leftChars="750" w:left="1800" w:firstLineChars="200" w:firstLine="520"/>
        <w:jc w:val="both"/>
        <w:rPr>
          <w:rFonts w:eastAsia="標楷體"/>
          <w:sz w:val="26"/>
        </w:rPr>
      </w:pPr>
      <w:r w:rsidRPr="00E74B80">
        <w:rPr>
          <w:rFonts w:ascii="標楷體" w:eastAsia="標楷體" w:hint="eastAsia"/>
          <w:sz w:val="26"/>
        </w:rPr>
        <w:t>參考性參考比率可能會有所不同。</w:t>
      </w:r>
    </w:p>
    <w:p w:rsidR="004D6C5D" w:rsidRPr="00E74B80" w:rsidRDefault="004D6C5D" w:rsidP="004D6C5D">
      <w:pPr>
        <w:pStyle w:val="a9"/>
        <w:ind w:left="1300" w:hangingChars="500" w:hanging="1300"/>
        <w:rPr>
          <w:sz w:val="26"/>
        </w:rPr>
      </w:pPr>
      <w:r w:rsidRPr="00E74B80">
        <w:rPr>
          <w:rFonts w:hint="eastAsia"/>
          <w:sz w:val="26"/>
        </w:rPr>
        <w:t>第八條　　期貨信託事業及基金銷售機構除為單純登載投資管理專門知識或服務等標榜集團、公司或企業形象而不涉及任何基金產品之廣告，無須標示警語外，其為基金</w:t>
      </w:r>
      <w:r w:rsidRPr="00E74B80">
        <w:rPr>
          <w:sz w:val="26"/>
        </w:rPr>
        <w:t>廣告</w:t>
      </w:r>
      <w:r w:rsidRPr="00E74B80">
        <w:rPr>
          <w:rFonts w:hint="eastAsia"/>
          <w:sz w:val="26"/>
        </w:rPr>
        <w:t xml:space="preserve">時，應於廣告內容中述明下列或與之相類之警語： </w:t>
      </w:r>
    </w:p>
    <w:p w:rsidR="004D6C5D" w:rsidRPr="00E74B80" w:rsidRDefault="004D6C5D" w:rsidP="004D6C5D">
      <w:pPr>
        <w:pStyle w:val="a9"/>
        <w:spacing w:before="60"/>
        <w:ind w:leftChars="550" w:left="1840" w:hangingChars="200" w:hanging="520"/>
        <w:rPr>
          <w:rFonts w:hAnsi="標楷體"/>
          <w:sz w:val="26"/>
        </w:rPr>
      </w:pPr>
      <w:r w:rsidRPr="00E74B80">
        <w:rPr>
          <w:rFonts w:hint="eastAsia"/>
          <w:sz w:val="26"/>
        </w:rPr>
        <w:t>一、</w:t>
      </w:r>
      <w:r w:rsidRPr="00E74B80">
        <w:rPr>
          <w:rFonts w:hAnsi="標楷體" w:hint="eastAsia"/>
          <w:sz w:val="26"/>
        </w:rPr>
        <w:t>平面廣告：除保本型基金外，應揭示「本期貨信託基金經</w:t>
      </w:r>
      <w:r w:rsidRPr="00E74B80">
        <w:rPr>
          <w:rFonts w:hint="eastAsia"/>
          <w:sz w:val="26"/>
        </w:rPr>
        <w:t>目的事業主管機關</w:t>
      </w:r>
      <w:r w:rsidRPr="00E74B80">
        <w:rPr>
          <w:rFonts w:hAnsi="標楷體" w:hint="eastAsia"/>
          <w:sz w:val="26"/>
        </w:rPr>
        <w:t>核准，惟不表示本基金絕無風險。本期貨信託事業以往之績效不保證基金之最低投資收益；本期貨信託事業除盡善良管理人之注意義務外，不負責本基金之盈虧，亦不保證最低之收益，投資人申購前應詳閱基金公開說明書。」之警語。</w:t>
      </w:r>
    </w:p>
    <w:p w:rsidR="004D6C5D" w:rsidRPr="00DF2B81" w:rsidRDefault="004D6C5D" w:rsidP="004D6C5D">
      <w:pPr>
        <w:pStyle w:val="a9"/>
        <w:spacing w:before="60"/>
        <w:ind w:leftChars="550" w:left="1840" w:hangingChars="200" w:hanging="520"/>
        <w:rPr>
          <w:rFonts w:ascii="Arial" w:hAnsi="Arial" w:cs="Arial"/>
          <w:color w:val="0000FF"/>
          <w:kern w:val="0"/>
          <w:sz w:val="26"/>
          <w:szCs w:val="26"/>
          <w:u w:val="single"/>
        </w:rPr>
      </w:pPr>
      <w:r w:rsidRPr="00E74B80">
        <w:rPr>
          <w:rFonts w:hAnsi="標楷體" w:hint="eastAsia"/>
          <w:sz w:val="26"/>
        </w:rPr>
        <w:t>二、</w:t>
      </w:r>
      <w:r w:rsidRPr="00B32056">
        <w:rPr>
          <w:rFonts w:ascii="Arial" w:hAnsi="Arial" w:cs="Arial" w:hint="eastAsia"/>
          <w:color w:val="0000FF"/>
          <w:kern w:val="0"/>
          <w:sz w:val="26"/>
          <w:szCs w:val="26"/>
          <w:u w:val="single"/>
        </w:rPr>
        <w:t>各類型基金之</w:t>
      </w:r>
      <w:r w:rsidRPr="00E74B80">
        <w:rPr>
          <w:rFonts w:hAnsi="標楷體" w:hint="eastAsia"/>
          <w:sz w:val="26"/>
        </w:rPr>
        <w:t>廣告：透過廣播、電視、</w:t>
      </w:r>
      <w:r w:rsidRPr="00B32056">
        <w:rPr>
          <w:rFonts w:hAnsi="標楷體" w:hint="eastAsia"/>
          <w:sz w:val="26"/>
          <w:szCs w:val="26"/>
        </w:rPr>
        <w:t>電影</w:t>
      </w:r>
      <w:r w:rsidRPr="00B32056">
        <w:rPr>
          <w:rFonts w:hAnsi="標楷體" w:cs="新細明體"/>
          <w:sz w:val="26"/>
          <w:szCs w:val="26"/>
        </w:rPr>
        <w:t>、</w:t>
      </w:r>
      <w:r w:rsidRPr="00B32056">
        <w:rPr>
          <w:rFonts w:ascii="Arial" w:hAnsi="Arial" w:cs="Arial"/>
          <w:color w:val="0000FF"/>
          <w:kern w:val="0"/>
          <w:sz w:val="26"/>
          <w:szCs w:val="26"/>
          <w:u w:val="single"/>
        </w:rPr>
        <w:t>網路、手機簡訊、手機來電答鈴</w:t>
      </w:r>
      <w:r w:rsidRPr="00E74B80">
        <w:rPr>
          <w:rFonts w:hAnsi="標楷體" w:hint="eastAsia"/>
          <w:sz w:val="26"/>
        </w:rPr>
        <w:t>或其他相似方式，以影像或聲音為有聲廣告時，應揭示「</w:t>
      </w:r>
      <w:r w:rsidRPr="00E74B80">
        <w:rPr>
          <w:rFonts w:ascii="Arial" w:hAnsi="Arial" w:cs="Arial" w:hint="eastAsia"/>
          <w:snapToGrid w:val="0"/>
          <w:sz w:val="26"/>
        </w:rPr>
        <w:t>投資一定有風險，基金投資有賺有賠，申購前應詳閱公開說明書</w:t>
      </w:r>
      <w:r w:rsidRPr="00E74B80">
        <w:rPr>
          <w:rFonts w:hAnsi="標楷體" w:hint="eastAsia"/>
          <w:sz w:val="26"/>
        </w:rPr>
        <w:t>」之警語。但</w:t>
      </w:r>
      <w:r w:rsidRPr="00DF2B81">
        <w:rPr>
          <w:rFonts w:ascii="Arial" w:hAnsi="Arial" w:cs="Arial"/>
          <w:color w:val="0000FF"/>
          <w:kern w:val="0"/>
          <w:sz w:val="26"/>
          <w:szCs w:val="26"/>
          <w:u w:val="single"/>
        </w:rPr>
        <w:t>手機簡訊及手機來電答鈴之內容僅揭示以下訊息時，則不在此限：</w:t>
      </w:r>
    </w:p>
    <w:p w:rsidR="004D6C5D" w:rsidRPr="00DF2B81" w:rsidRDefault="004D6C5D" w:rsidP="004D6C5D">
      <w:pPr>
        <w:pStyle w:val="ad"/>
        <w:tabs>
          <w:tab w:val="clear" w:pos="332"/>
        </w:tabs>
        <w:spacing w:before="0"/>
        <w:ind w:leftChars="750" w:left="2320" w:hangingChars="200" w:hanging="520"/>
        <w:jc w:val="both"/>
        <w:rPr>
          <w:rFonts w:hAnsi="標楷體" w:cs="Arial"/>
          <w:color w:val="0000FF"/>
          <w:kern w:val="0"/>
          <w:sz w:val="26"/>
          <w:szCs w:val="26"/>
          <w:u w:val="single"/>
        </w:rPr>
      </w:pPr>
      <w:r w:rsidRPr="00DF2B81">
        <w:rPr>
          <w:rFonts w:hAnsi="標楷體" w:cs="Arial" w:hint="eastAsia"/>
          <w:color w:val="0000FF"/>
          <w:kern w:val="0"/>
          <w:sz w:val="26"/>
          <w:szCs w:val="26"/>
          <w:u w:val="single"/>
        </w:rPr>
        <w:t>(一)</w:t>
      </w:r>
      <w:r w:rsidRPr="00DF2B81">
        <w:rPr>
          <w:rFonts w:hAnsi="標楷體" w:cs="Arial"/>
          <w:color w:val="0000FF"/>
          <w:kern w:val="0"/>
          <w:sz w:val="26"/>
          <w:szCs w:val="26"/>
          <w:u w:val="single"/>
        </w:rPr>
        <w:t>基金名稱、募集日期</w:t>
      </w:r>
    </w:p>
    <w:p w:rsidR="004D6C5D" w:rsidRPr="00DF2B81" w:rsidRDefault="004D6C5D" w:rsidP="004D6C5D">
      <w:pPr>
        <w:pStyle w:val="ad"/>
        <w:tabs>
          <w:tab w:val="clear" w:pos="332"/>
        </w:tabs>
        <w:spacing w:before="0"/>
        <w:ind w:leftChars="750" w:left="2320" w:hangingChars="200" w:hanging="520"/>
        <w:jc w:val="both"/>
        <w:rPr>
          <w:rFonts w:hAnsi="標楷體" w:cs="Arial"/>
          <w:color w:val="0000FF"/>
          <w:kern w:val="0"/>
          <w:sz w:val="26"/>
          <w:szCs w:val="26"/>
          <w:u w:val="single"/>
        </w:rPr>
      </w:pPr>
      <w:r w:rsidRPr="00DF2B81">
        <w:rPr>
          <w:rFonts w:hAnsi="標楷體" w:cs="Arial" w:hint="eastAsia"/>
          <w:color w:val="0000FF"/>
          <w:kern w:val="0"/>
          <w:sz w:val="26"/>
          <w:szCs w:val="26"/>
          <w:u w:val="single"/>
        </w:rPr>
        <w:t>(二)</w:t>
      </w:r>
      <w:r w:rsidRPr="00DF2B81">
        <w:rPr>
          <w:rFonts w:hAnsi="標楷體" w:cs="Arial"/>
          <w:color w:val="0000FF"/>
          <w:kern w:val="0"/>
          <w:sz w:val="26"/>
          <w:szCs w:val="26"/>
          <w:u w:val="single"/>
        </w:rPr>
        <w:t>說明會日期及地點</w:t>
      </w:r>
    </w:p>
    <w:p w:rsidR="004D6C5D" w:rsidRPr="00DF2B81" w:rsidRDefault="004D6C5D" w:rsidP="004D6C5D">
      <w:pPr>
        <w:pStyle w:val="ad"/>
        <w:tabs>
          <w:tab w:val="clear" w:pos="332"/>
        </w:tabs>
        <w:spacing w:before="0"/>
        <w:ind w:leftChars="750" w:left="2320" w:hangingChars="200" w:hanging="520"/>
        <w:jc w:val="both"/>
        <w:rPr>
          <w:rFonts w:hAnsi="標楷體" w:cs="Arial"/>
          <w:color w:val="0000FF"/>
          <w:kern w:val="0"/>
          <w:sz w:val="26"/>
          <w:szCs w:val="26"/>
          <w:u w:val="single"/>
        </w:rPr>
      </w:pPr>
      <w:r w:rsidRPr="00DF2B81">
        <w:rPr>
          <w:rFonts w:hAnsi="標楷體" w:cs="Arial" w:hint="eastAsia"/>
          <w:color w:val="0000FF"/>
          <w:kern w:val="0"/>
          <w:sz w:val="26"/>
          <w:szCs w:val="26"/>
          <w:u w:val="single"/>
        </w:rPr>
        <w:t>(三)</w:t>
      </w:r>
      <w:r w:rsidRPr="00DF2B81">
        <w:rPr>
          <w:rFonts w:hAnsi="標楷體" w:cs="Arial"/>
          <w:color w:val="0000FF"/>
          <w:kern w:val="0"/>
          <w:sz w:val="26"/>
          <w:szCs w:val="26"/>
          <w:u w:val="single"/>
        </w:rPr>
        <w:t>手續費率(含優惠)</w:t>
      </w:r>
    </w:p>
    <w:p w:rsidR="004D6C5D" w:rsidRPr="00DF2B81" w:rsidRDefault="004D6C5D" w:rsidP="004D6C5D">
      <w:pPr>
        <w:pStyle w:val="ad"/>
        <w:tabs>
          <w:tab w:val="clear" w:pos="332"/>
        </w:tabs>
        <w:spacing w:before="0"/>
        <w:ind w:leftChars="750" w:left="2320" w:hangingChars="200" w:hanging="520"/>
        <w:jc w:val="both"/>
        <w:rPr>
          <w:rFonts w:hAnsi="標楷體" w:cs="Arial"/>
          <w:color w:val="0000FF"/>
          <w:kern w:val="0"/>
          <w:sz w:val="26"/>
          <w:szCs w:val="26"/>
          <w:u w:val="single"/>
        </w:rPr>
      </w:pPr>
      <w:r w:rsidRPr="00DF2B81">
        <w:rPr>
          <w:rFonts w:hAnsi="標楷體" w:cs="Arial" w:hint="eastAsia"/>
          <w:color w:val="0000FF"/>
          <w:kern w:val="0"/>
          <w:sz w:val="26"/>
          <w:szCs w:val="26"/>
          <w:u w:val="single"/>
        </w:rPr>
        <w:t>(四)</w:t>
      </w:r>
      <w:r w:rsidRPr="00DF2B81">
        <w:rPr>
          <w:rFonts w:hAnsi="標楷體" w:cs="Arial"/>
          <w:color w:val="0000FF"/>
          <w:kern w:val="0"/>
          <w:sz w:val="26"/>
          <w:szCs w:val="26"/>
          <w:u w:val="single"/>
        </w:rPr>
        <w:t>客服連絡電話</w:t>
      </w:r>
    </w:p>
    <w:p w:rsidR="004D6C5D" w:rsidRPr="00E74B80" w:rsidRDefault="004D6C5D" w:rsidP="004D6C5D">
      <w:pPr>
        <w:pStyle w:val="ad"/>
        <w:tabs>
          <w:tab w:val="clear" w:pos="332"/>
        </w:tabs>
        <w:spacing w:before="0"/>
        <w:ind w:leftChars="750" w:left="2320" w:hangingChars="200" w:hanging="520"/>
        <w:jc w:val="both"/>
        <w:rPr>
          <w:rFonts w:hAnsi="標楷體"/>
          <w:sz w:val="26"/>
        </w:rPr>
      </w:pPr>
      <w:r w:rsidRPr="00DF2B81">
        <w:rPr>
          <w:rFonts w:hAnsi="標楷體" w:cs="Arial" w:hint="eastAsia"/>
          <w:color w:val="0000FF"/>
          <w:kern w:val="0"/>
          <w:sz w:val="26"/>
          <w:szCs w:val="26"/>
          <w:u w:val="single"/>
        </w:rPr>
        <w:t>(五)</w:t>
      </w:r>
      <w:r w:rsidRPr="00DF2B81">
        <w:rPr>
          <w:rFonts w:hAnsi="標楷體" w:cs="Arial"/>
          <w:color w:val="0000FF"/>
          <w:kern w:val="0"/>
          <w:sz w:val="26"/>
          <w:szCs w:val="26"/>
          <w:u w:val="single"/>
        </w:rPr>
        <w:t>公司介紹</w:t>
      </w:r>
    </w:p>
    <w:p w:rsidR="004D6C5D" w:rsidRPr="00E74B80" w:rsidRDefault="004D6C5D" w:rsidP="004D6C5D">
      <w:pPr>
        <w:pStyle w:val="a9"/>
        <w:tabs>
          <w:tab w:val="left" w:pos="331"/>
          <w:tab w:val="left" w:pos="360"/>
        </w:tabs>
        <w:spacing w:before="60"/>
        <w:ind w:leftChars="550" w:left="1840" w:hangingChars="200" w:hanging="520"/>
        <w:rPr>
          <w:rFonts w:hAnsi="標楷體"/>
          <w:sz w:val="26"/>
        </w:rPr>
      </w:pPr>
      <w:r w:rsidRPr="00E74B80">
        <w:rPr>
          <w:rFonts w:hAnsi="標楷體" w:hint="eastAsia"/>
          <w:sz w:val="26"/>
        </w:rPr>
        <w:t>三、保本型基金除</w:t>
      </w:r>
      <w:bookmarkStart w:id="1" w:name="_GoBack"/>
      <w:bookmarkEnd w:id="1"/>
      <w:r w:rsidRPr="00E74B80">
        <w:rPr>
          <w:rFonts w:hAnsi="標楷體" w:hint="eastAsia"/>
          <w:sz w:val="26"/>
        </w:rPr>
        <w:t>依前款規定為之外，應揭示下列警語內容：</w:t>
      </w:r>
    </w:p>
    <w:p w:rsidR="004D6C5D" w:rsidRPr="00E74B80" w:rsidRDefault="004D6C5D" w:rsidP="004D6C5D">
      <w:pPr>
        <w:pStyle w:val="a9"/>
        <w:spacing w:before="0"/>
        <w:ind w:leftChars="750" w:left="2280" w:hangingChars="200" w:hanging="480"/>
        <w:rPr>
          <w:rFonts w:hAnsi="標楷體"/>
          <w:sz w:val="26"/>
        </w:rPr>
      </w:pPr>
      <w:r w:rsidRPr="00E74B80">
        <w:rPr>
          <w:rFonts w:hAnsi="標楷體" w:hint="eastAsia"/>
          <w:bCs/>
          <w:sz w:val="24"/>
        </w:rPr>
        <w:t>(一)</w:t>
      </w:r>
      <w:r w:rsidRPr="00E74B80">
        <w:rPr>
          <w:rFonts w:hAnsi="標楷體" w:hint="eastAsia"/>
          <w:sz w:val="26"/>
        </w:rPr>
        <w:t>保本型基金為保證型者，應刊印「本期貨信託基金經</w:t>
      </w:r>
      <w:r w:rsidRPr="00E74B80">
        <w:rPr>
          <w:rFonts w:hint="eastAsia"/>
          <w:sz w:val="26"/>
        </w:rPr>
        <w:t>目的事業主管機關</w:t>
      </w:r>
      <w:r w:rsidRPr="00E74B80">
        <w:rPr>
          <w:rFonts w:hAnsi="標楷體" w:hint="eastAsia"/>
          <w:sz w:val="26"/>
        </w:rPr>
        <w:t>核准，惟不表示絕無風險。投資人持有本基金至到期日時，始可享有____％的本金保證。投資人於到期日前買回者或有本基金信託契約第＿＿條或公開說明書所定應終止之情事者，不在保證範圍，投資人應承擔整個投資期間之相關費用，並依當時淨值計算買回價格。投資人應了解到期日前本基金之淨值可能因市場因素而波動。投資人在進行交易前，應確定已充分瞭解本基金之風險與特性。」等文字。</w:t>
      </w:r>
    </w:p>
    <w:p w:rsidR="004D6C5D" w:rsidRPr="00E74B80" w:rsidRDefault="004D6C5D" w:rsidP="004D6C5D">
      <w:pPr>
        <w:pStyle w:val="a9"/>
        <w:spacing w:before="0"/>
        <w:ind w:leftChars="750" w:left="2320" w:hangingChars="200" w:hanging="520"/>
        <w:rPr>
          <w:rFonts w:hAnsi="標楷體"/>
          <w:sz w:val="26"/>
        </w:rPr>
      </w:pPr>
      <w:r w:rsidRPr="00E74B80">
        <w:rPr>
          <w:rFonts w:hAnsi="標楷體" w:hint="eastAsia"/>
          <w:sz w:val="26"/>
        </w:rPr>
        <w:t>(二)保本型基金為保護型者，應刊印「本期貨信託基金無提供保證機構保證之機制，係透過投資工具達成保護本金之功能。本基金經目的事業主管機關核准，惟不表示絕無風險。投資人持有本基金至到期日時，始可享有____％的本金保護。投資人於到期日前買回者、或有本基金信託契約第＿＿條或公開說明書所定應提前終止之情事者，不在保護範圍，投資人應承擔整個投資期間之相關費用，並依當時淨值計算買回價格。投資人應了解到期日前本基金之淨值可能因市場因素而波動，因保護並非保證，投資標的之發行人違約或發生信用風險等因素，將無法達到本金保護之效果，投資人在進行交易前，應確定已充分瞭解本基金之風險與特性。」等文字。</w:t>
      </w:r>
    </w:p>
    <w:p w:rsidR="004D6C5D" w:rsidRPr="00E74B80" w:rsidRDefault="004D6C5D" w:rsidP="004D6C5D">
      <w:pPr>
        <w:pStyle w:val="a9"/>
        <w:spacing w:before="60"/>
        <w:ind w:leftChars="550" w:left="1840" w:hangingChars="200" w:hanging="520"/>
        <w:rPr>
          <w:rFonts w:hAnsi="標楷體"/>
          <w:sz w:val="26"/>
        </w:rPr>
      </w:pPr>
      <w:r w:rsidRPr="00E74B80">
        <w:rPr>
          <w:rFonts w:hAnsi="標楷體" w:hint="eastAsia"/>
          <w:sz w:val="26"/>
        </w:rPr>
        <w:t>四、以基金定時定額投資績效為廣告，應揭示「投資人因不同時間進場，將有不同之投資績效，過去之績效亦不代表未來績效之保證。」之警語內容。</w:t>
      </w:r>
    </w:p>
    <w:p w:rsidR="004D6C5D" w:rsidRPr="00E74B80" w:rsidRDefault="004D6C5D" w:rsidP="004D6C5D">
      <w:pPr>
        <w:pStyle w:val="a9"/>
        <w:spacing w:before="60"/>
        <w:ind w:leftChars="550" w:left="1840" w:hangingChars="200" w:hanging="520"/>
        <w:rPr>
          <w:rFonts w:hAnsi="標楷體"/>
          <w:sz w:val="26"/>
        </w:rPr>
      </w:pPr>
      <w:r w:rsidRPr="00E74B80">
        <w:rPr>
          <w:rFonts w:hAnsi="標楷體" w:hint="eastAsia"/>
          <w:sz w:val="26"/>
        </w:rPr>
        <w:t>五、以基金配息率為廣告，應揭示「</w:t>
      </w:r>
      <w:r w:rsidRPr="00E74B80">
        <w:rPr>
          <w:rFonts w:hAnsi="標楷體"/>
          <w:sz w:val="26"/>
        </w:rPr>
        <w:t>基金配息率不代表基金報酬率，</w:t>
      </w:r>
      <w:r w:rsidRPr="00E74B80">
        <w:rPr>
          <w:rFonts w:hAnsi="標楷體" w:hint="eastAsia"/>
          <w:sz w:val="26"/>
        </w:rPr>
        <w:t>且</w:t>
      </w:r>
      <w:r w:rsidRPr="00E74B80">
        <w:rPr>
          <w:rFonts w:hAnsi="標楷體"/>
          <w:sz w:val="26"/>
        </w:rPr>
        <w:t>過去配息率不代表未來配息率</w:t>
      </w:r>
      <w:r w:rsidRPr="00E74B80">
        <w:rPr>
          <w:rFonts w:hAnsi="標楷體" w:hint="eastAsia"/>
          <w:sz w:val="26"/>
        </w:rPr>
        <w:t>；基金淨值可能因市場因素而上下波動。」之警語。</w:t>
      </w:r>
    </w:p>
    <w:p w:rsidR="004D6C5D" w:rsidRPr="00E74B80" w:rsidRDefault="004D6C5D" w:rsidP="004D6C5D">
      <w:pPr>
        <w:pStyle w:val="a9"/>
        <w:spacing w:before="60"/>
        <w:ind w:leftChars="550" w:left="1840" w:hangingChars="200" w:hanging="520"/>
        <w:rPr>
          <w:rFonts w:hAnsi="標楷體"/>
          <w:sz w:val="26"/>
        </w:rPr>
      </w:pPr>
      <w:r w:rsidRPr="00E74B80">
        <w:rPr>
          <w:rFonts w:hAnsi="標楷體" w:hint="eastAsia"/>
          <w:sz w:val="26"/>
        </w:rPr>
        <w:t>六、以</w:t>
      </w:r>
      <w:r w:rsidRPr="00DF2B81">
        <w:rPr>
          <w:rFonts w:ascii="Arial" w:hAnsi="Arial" w:cs="Arial" w:hint="eastAsia"/>
          <w:color w:val="0000FF"/>
          <w:kern w:val="0"/>
          <w:sz w:val="26"/>
          <w:szCs w:val="26"/>
          <w:u w:val="single"/>
        </w:rPr>
        <w:t>非投資等級</w:t>
      </w:r>
      <w:r w:rsidRPr="00E74B80">
        <w:rPr>
          <w:rFonts w:hAnsi="標楷體" w:hint="eastAsia"/>
          <w:sz w:val="26"/>
        </w:rPr>
        <w:t>為名之期貨信託基金，若於廣告文宣資料上標示</w:t>
      </w:r>
      <w:r w:rsidRPr="00DF2B81">
        <w:rPr>
          <w:rFonts w:ascii="Arial" w:hAnsi="Arial" w:cs="Arial" w:hint="eastAsia"/>
          <w:color w:val="0000FF"/>
          <w:kern w:val="0"/>
          <w:sz w:val="26"/>
          <w:szCs w:val="26"/>
          <w:u w:val="single"/>
        </w:rPr>
        <w:t>非投資等級</w:t>
      </w:r>
      <w:r w:rsidRPr="00E74B80">
        <w:rPr>
          <w:rFonts w:hAnsi="標楷體" w:hint="eastAsia"/>
          <w:sz w:val="26"/>
        </w:rPr>
        <w:t>、高配息，應以相同規格標示或揭露其相對應之投資風險。</w:t>
      </w:r>
    </w:p>
    <w:p w:rsidR="004D6C5D" w:rsidRDefault="004D6C5D" w:rsidP="004D6C5D">
      <w:pPr>
        <w:spacing w:before="60"/>
        <w:ind w:leftChars="550" w:left="1840" w:hangingChars="200" w:hanging="520"/>
        <w:jc w:val="both"/>
        <w:rPr>
          <w:rFonts w:eastAsia="標楷體"/>
          <w:sz w:val="26"/>
        </w:rPr>
      </w:pPr>
      <w:r w:rsidRPr="00E74B80">
        <w:rPr>
          <w:rFonts w:ascii="標楷體" w:eastAsia="標楷體" w:hAnsi="標楷體" w:hint="eastAsia"/>
          <w:sz w:val="26"/>
        </w:rPr>
        <w:t>七、廣告內容</w:t>
      </w:r>
      <w:r w:rsidRPr="00E74B80">
        <w:rPr>
          <w:rFonts w:eastAsia="標楷體" w:hint="eastAsia"/>
          <w:sz w:val="26"/>
        </w:rPr>
        <w:t>中如有公司所屬集團形象性質之文字時，應註明「ＯＯ公司獨立經營管理」字樣。</w:t>
      </w:r>
    </w:p>
    <w:p w:rsidR="004D6C5D" w:rsidRPr="00ED263C" w:rsidRDefault="004D6C5D" w:rsidP="004D6C5D">
      <w:pPr>
        <w:spacing w:before="60"/>
        <w:ind w:leftChars="550" w:left="1840" w:hangingChars="200" w:hanging="520"/>
        <w:jc w:val="both"/>
        <w:rPr>
          <w:rFonts w:ascii="標楷體" w:eastAsia="標楷體" w:hAnsi="標楷體"/>
          <w:sz w:val="26"/>
        </w:rPr>
      </w:pPr>
      <w:r w:rsidRPr="00ED263C">
        <w:rPr>
          <w:rFonts w:ascii="標楷體" w:eastAsia="標楷體" w:hAnsi="標楷體" w:hint="eastAsia"/>
          <w:sz w:val="26"/>
        </w:rPr>
        <w:t>八、一般</w:t>
      </w:r>
      <w:r w:rsidRPr="00ED263C">
        <w:rPr>
          <w:rFonts w:ascii="標楷體" w:eastAsia="標楷體" w:hAnsi="標楷體"/>
          <w:sz w:val="26"/>
        </w:rPr>
        <w:t>指數股票型期貨信託基金</w:t>
      </w:r>
      <w:r w:rsidRPr="00ED263C">
        <w:rPr>
          <w:rFonts w:ascii="標楷體" w:eastAsia="標楷體" w:hAnsi="標楷體" w:hint="eastAsia"/>
          <w:sz w:val="26"/>
        </w:rPr>
        <w:t>(以下簡稱一般型期貨ETF)</w:t>
      </w:r>
      <w:r w:rsidRPr="00ED263C">
        <w:rPr>
          <w:rFonts w:ascii="標楷體" w:eastAsia="標楷體" w:hAnsi="標楷體"/>
          <w:sz w:val="26"/>
        </w:rPr>
        <w:t>應</w:t>
      </w:r>
      <w:r w:rsidRPr="00ED263C">
        <w:rPr>
          <w:rFonts w:ascii="標楷體" w:eastAsia="標楷體" w:hAnsi="標楷體" w:hint="eastAsia"/>
          <w:sz w:val="26"/>
        </w:rPr>
        <w:t>揭示</w:t>
      </w:r>
      <w:r w:rsidRPr="00ED263C">
        <w:rPr>
          <w:rFonts w:ascii="標楷體" w:eastAsia="標楷體" w:hAnsi="標楷體"/>
          <w:sz w:val="26"/>
        </w:rPr>
        <w:t>「本基金之每單位淨資產價值可能因跨時區交易而無法揭露最新淨值，標的指數成分契約之價格、基金淨資產價值及證券交易市場之市場價格可能受期貨契約標的現貨之價格影響，而可能產生折、溢價之風險，且專業投資人通常較一般投資人容易取得期貨契約及期貨契約標的現貨之資訊及評價，投資人於現金申購、買回或於證券交易市場買賣前，應審慎評估價格之合理性，並詳閱基金公開說明書。」</w:t>
      </w:r>
      <w:r w:rsidRPr="00ED263C">
        <w:rPr>
          <w:rFonts w:ascii="標楷體" w:eastAsia="標楷體" w:hAnsi="標楷體" w:hint="eastAsia"/>
          <w:sz w:val="26"/>
        </w:rPr>
        <w:t>等警語內容。</w:t>
      </w:r>
    </w:p>
    <w:p w:rsidR="004D6C5D" w:rsidRDefault="004D6C5D" w:rsidP="004D6C5D">
      <w:pPr>
        <w:spacing w:before="60"/>
        <w:ind w:leftChars="550" w:left="1840" w:hangingChars="200" w:hanging="520"/>
        <w:jc w:val="both"/>
        <w:rPr>
          <w:rFonts w:ascii="標楷體" w:eastAsia="標楷體" w:hAnsi="標楷體"/>
          <w:sz w:val="26"/>
        </w:rPr>
      </w:pPr>
      <w:r w:rsidRPr="00ED263C">
        <w:rPr>
          <w:rFonts w:ascii="標楷體" w:eastAsia="標楷體" w:hAnsi="標楷體" w:hint="eastAsia"/>
          <w:sz w:val="26"/>
        </w:rPr>
        <w:t>九、槓桿型指數股票型期貨信託基金或反向型指數股票型期貨信託基金（以下簡稱槓桿型或反向型期貨ETF）除應揭示前款規定事項外，並應揭示「槓桿型或反向型期貨ETF係追蹤、模擬或複製標的指數之正向倍數或反向倍數表現，投資人應完全瞭解淨值與其標的指數間之正反向及倍數關係，且槓桿型或反向型期貨ETF僅以追蹤、模擬或複製每日標的指數報酬率正向倍數或反向倍數為目標，而非一段期間內標的指數正向倍數或反向倍數之累積報酬率，故不宜以長期持有槓桿型或反向型期貨ETF受益憑證之方式獲取累積報酬率。」等警語內容。</w:t>
      </w:r>
    </w:p>
    <w:p w:rsidR="004D6C5D" w:rsidRPr="00F237D1" w:rsidRDefault="004D6C5D" w:rsidP="004D6C5D">
      <w:pPr>
        <w:spacing w:before="60"/>
        <w:ind w:leftChars="550" w:left="1840" w:hangingChars="200" w:hanging="520"/>
        <w:jc w:val="both"/>
        <w:rPr>
          <w:rFonts w:ascii="標楷體" w:eastAsia="標楷體" w:hAnsi="標楷體" w:cs="Arial"/>
          <w:color w:val="0000FF"/>
          <w:sz w:val="26"/>
          <w:szCs w:val="26"/>
          <w:u w:val="single"/>
        </w:rPr>
      </w:pPr>
      <w:r w:rsidRPr="00F237D1">
        <w:rPr>
          <w:rFonts w:ascii="標楷體" w:eastAsia="標楷體" w:hAnsi="標楷體" w:cs="Arial" w:hint="eastAsia"/>
          <w:color w:val="0000FF"/>
          <w:sz w:val="26"/>
          <w:szCs w:val="26"/>
          <w:u w:val="single"/>
        </w:rPr>
        <w:t>十、</w:t>
      </w:r>
      <w:r w:rsidRPr="00F237D1">
        <w:rPr>
          <w:rFonts w:ascii="標楷體" w:eastAsia="標楷體" w:hAnsi="標楷體" w:cs="Arial"/>
          <w:color w:val="0000FF"/>
          <w:sz w:val="26"/>
          <w:szCs w:val="26"/>
          <w:u w:val="single"/>
        </w:rPr>
        <w:t>各類型基金之付費置入性行銷廣告</w:t>
      </w:r>
      <w:r w:rsidRPr="00F237D1">
        <w:rPr>
          <w:rFonts w:ascii="標楷體" w:eastAsia="標楷體" w:hAnsi="標楷體" w:cs="Arial" w:hint="eastAsia"/>
          <w:color w:val="0000FF"/>
          <w:sz w:val="26"/>
          <w:szCs w:val="26"/>
          <w:u w:val="single"/>
        </w:rPr>
        <w:t>：</w:t>
      </w:r>
      <w:r w:rsidRPr="00F237D1">
        <w:rPr>
          <w:rFonts w:ascii="標楷體" w:eastAsia="標楷體" w:hAnsi="標楷體" w:cs="Arial"/>
          <w:color w:val="0000FF"/>
          <w:sz w:val="26"/>
          <w:szCs w:val="26"/>
          <w:u w:val="single"/>
        </w:rPr>
        <w:t>於第三方刊物、平台、媒體(包括但不限於大眾媒體、社群媒體、網紅等自媒體)或其他相似管道進行置入性行銷時，除應載明上述平面或有聲廣告警語外，應於廣告內容明顯揭露或宣讀「○○公司廣告文宣」、「○○公司行銷資訊」、或「○○公司贊助播出」等相類詞語，使投資人可清楚識別其為廣告行銷資訊。</w:t>
      </w:r>
    </w:p>
    <w:p w:rsidR="004D6C5D" w:rsidRPr="00CA47B4" w:rsidRDefault="004D6C5D" w:rsidP="004D6C5D">
      <w:pPr>
        <w:spacing w:before="120" w:line="0" w:lineRule="atLeast"/>
        <w:ind w:left="668" w:hangingChars="257" w:hanging="668"/>
        <w:jc w:val="both"/>
        <w:rPr>
          <w:rFonts w:eastAsia="標楷體"/>
          <w:sz w:val="26"/>
        </w:rPr>
      </w:pPr>
      <w:r w:rsidRPr="00CA47B4">
        <w:rPr>
          <w:rFonts w:eastAsia="標楷體" w:hint="eastAsia"/>
          <w:sz w:val="26"/>
        </w:rPr>
        <w:t>第九條　　期貨信託事業及基金銷售機構為前條警語之揭示時，應遵守下列原則：</w:t>
      </w:r>
    </w:p>
    <w:p w:rsidR="004D6C5D" w:rsidRPr="00F237D1" w:rsidRDefault="004D6C5D" w:rsidP="004D6C5D">
      <w:pPr>
        <w:spacing w:before="60"/>
        <w:ind w:leftChars="550" w:left="1840" w:hangingChars="200" w:hanging="520"/>
        <w:jc w:val="both"/>
        <w:rPr>
          <w:rFonts w:ascii="標楷體" w:eastAsia="標楷體" w:hAnsi="標楷體"/>
          <w:sz w:val="26"/>
        </w:rPr>
      </w:pPr>
      <w:r w:rsidRPr="00F237D1">
        <w:rPr>
          <w:rFonts w:ascii="標楷體" w:eastAsia="標楷體" w:hAnsi="標楷體" w:hint="eastAsia"/>
          <w:sz w:val="26"/>
        </w:rPr>
        <w:t>一、應以顯著之顏色、字體或方式等為之；有聲廣告除廣播以聲音揭示外，須以易識別之字體揭示警語至少播放五秒鐘。</w:t>
      </w:r>
    </w:p>
    <w:p w:rsidR="004D6C5D" w:rsidRPr="00F237D1" w:rsidRDefault="004D6C5D" w:rsidP="004D6C5D">
      <w:pPr>
        <w:spacing w:before="60"/>
        <w:ind w:leftChars="550" w:left="1840" w:hangingChars="200" w:hanging="520"/>
        <w:jc w:val="both"/>
        <w:rPr>
          <w:rFonts w:ascii="標楷體" w:eastAsia="標楷體" w:hAnsi="標楷體"/>
          <w:sz w:val="26"/>
        </w:rPr>
      </w:pPr>
      <w:r w:rsidRPr="00F237D1">
        <w:rPr>
          <w:rFonts w:ascii="標楷體" w:eastAsia="標楷體" w:hAnsi="標楷體" w:hint="eastAsia"/>
          <w:sz w:val="26"/>
        </w:rPr>
        <w:t>二、所傳達之訊息應清晰、不含糊。</w:t>
      </w:r>
    </w:p>
    <w:p w:rsidR="004D6C5D" w:rsidRPr="00F237D1" w:rsidRDefault="004D6C5D" w:rsidP="004D6C5D">
      <w:pPr>
        <w:spacing w:before="60"/>
        <w:ind w:leftChars="550" w:left="1840" w:hangingChars="200" w:hanging="520"/>
        <w:jc w:val="both"/>
        <w:rPr>
          <w:rFonts w:ascii="標楷體" w:eastAsia="標楷體" w:hAnsi="標楷體"/>
          <w:sz w:val="26"/>
        </w:rPr>
      </w:pPr>
      <w:r w:rsidRPr="00F237D1">
        <w:rPr>
          <w:rFonts w:ascii="標楷體" w:eastAsia="標楷體" w:hAnsi="標楷體" w:hint="eastAsia"/>
          <w:sz w:val="26"/>
        </w:rPr>
        <w:t>三、平面廣告之警語字體大小，不得小於同一廣告上其他部分最小之字體，並應以粗體印刷顯著標示，使其在一般人快速閱覽相關廣告時，均可顯而易見。</w:t>
      </w:r>
    </w:p>
    <w:p w:rsidR="004D6C5D" w:rsidRPr="00E74B80" w:rsidRDefault="004D6C5D" w:rsidP="004D6C5D">
      <w:pPr>
        <w:spacing w:before="120" w:line="0" w:lineRule="atLeast"/>
        <w:ind w:left="668" w:hangingChars="257" w:hanging="668"/>
        <w:jc w:val="both"/>
        <w:rPr>
          <w:rFonts w:ascii="標楷體" w:eastAsia="標楷體" w:hAnsi="標楷體"/>
          <w:sz w:val="26"/>
          <w:szCs w:val="28"/>
        </w:rPr>
      </w:pPr>
      <w:r w:rsidRPr="00E74B80">
        <w:rPr>
          <w:rFonts w:eastAsia="標楷體" w:hint="eastAsia"/>
          <w:sz w:val="26"/>
        </w:rPr>
        <w:t xml:space="preserve">第十條　　</w:t>
      </w:r>
      <w:r w:rsidRPr="00E74B80">
        <w:rPr>
          <w:rFonts w:ascii="標楷體" w:eastAsia="標楷體" w:hAnsi="標楷體" w:hint="eastAsia"/>
          <w:sz w:val="26"/>
          <w:szCs w:val="28"/>
        </w:rPr>
        <w:t>以基金績效及業績數字為廣告或促銷內容者，尚應符合下列原則﹕</w:t>
      </w:r>
    </w:p>
    <w:p w:rsidR="004D6C5D" w:rsidRPr="00F237D1" w:rsidRDefault="004D6C5D" w:rsidP="004D6C5D">
      <w:pPr>
        <w:spacing w:before="60"/>
        <w:ind w:leftChars="550" w:left="1840" w:hangingChars="200" w:hanging="520"/>
        <w:jc w:val="both"/>
        <w:rPr>
          <w:rFonts w:ascii="標楷體" w:eastAsia="標楷體" w:hAnsi="標楷體"/>
          <w:sz w:val="26"/>
        </w:rPr>
      </w:pPr>
      <w:r w:rsidRPr="00F237D1">
        <w:rPr>
          <w:rFonts w:ascii="標楷體" w:eastAsia="標楷體" w:hAnsi="標楷體" w:hint="eastAsia"/>
          <w:sz w:val="26"/>
        </w:rPr>
        <w:t>一、任何基金績效及業績數字（包括所提之獎項及排名）均需註明使用資料之來源及日期。但保本型基金如須採用複雜計算機制，為了向投資人詳細解釋該等機制，期貨信託事業及基金銷售機構可以使用假設數字，且須清楚列明該數字僅作說明用途，並非表示投資人將來可獲得的實際收益。</w:t>
      </w:r>
    </w:p>
    <w:p w:rsidR="004D6C5D" w:rsidRPr="00E74B80" w:rsidRDefault="004D6C5D" w:rsidP="004D6C5D">
      <w:pPr>
        <w:spacing w:before="60"/>
        <w:ind w:leftChars="550" w:left="1840" w:hangingChars="200" w:hanging="520"/>
        <w:jc w:val="both"/>
        <w:rPr>
          <w:rFonts w:ascii="標楷體" w:eastAsia="標楷體" w:hAnsi="標楷體"/>
          <w:sz w:val="26"/>
        </w:rPr>
      </w:pPr>
      <w:r w:rsidRPr="00E74B80">
        <w:rPr>
          <w:rFonts w:ascii="標楷體" w:eastAsia="標楷體" w:hAnsi="標楷體" w:hint="eastAsia"/>
          <w:sz w:val="26"/>
        </w:rPr>
        <w:t>二、以基金績效作為廣告者，基金需成立滿六個月以上者，始能刊登；除本項第六款以定時定額投資績效為廣告應遵守之事項外，餘須刊登自成立日以來並以計算至月底之最近日期之全部績效（指三個月、六個月、一年、二年及自成立日之績效），同時可增加揭示「一個月」及「自今年以來」之績效；成立滿三年者，應以最近三年全部績效（指一年、二年及三年之績效）為圖表表示，同時可增加揭露「一個月」及「自今年以來」、或「三個月」及「六個月」、或「五年」、或「十年」、或「自成立日以來」之績效。上述各期間績效之揭示，應遵守下列原則：</w:t>
      </w:r>
    </w:p>
    <w:p w:rsidR="004D6C5D" w:rsidRPr="00ED263C" w:rsidRDefault="004D6C5D" w:rsidP="004D6C5D">
      <w:pPr>
        <w:snapToGrid w:val="0"/>
        <w:spacing w:line="0" w:lineRule="atLeast"/>
        <w:ind w:leftChars="800" w:left="2157" w:rightChars="-3" w:right="-7" w:hangingChars="91" w:hanging="237"/>
        <w:jc w:val="both"/>
        <w:rPr>
          <w:rFonts w:ascii="標楷體" w:eastAsia="標楷體" w:hAnsi="標楷體"/>
          <w:sz w:val="26"/>
        </w:rPr>
      </w:pPr>
      <w:r w:rsidRPr="00E74B80">
        <w:rPr>
          <w:rFonts w:ascii="標楷體" w:eastAsia="標楷體" w:hAnsi="標楷體" w:cs="細明體" w:hint="eastAsia"/>
          <w:sz w:val="26"/>
        </w:rPr>
        <w:t>(一)</w:t>
      </w:r>
      <w:r w:rsidRPr="00ED263C">
        <w:rPr>
          <w:rFonts w:ascii="標楷體" w:eastAsia="標楷體" w:hAnsi="標楷體" w:hint="eastAsia"/>
          <w:sz w:val="26"/>
        </w:rPr>
        <w:t>不得以一個月之基金績效為廣告訴求及截取特定期間之績效。</w:t>
      </w:r>
    </w:p>
    <w:p w:rsidR="004D6C5D" w:rsidRPr="00E74B80" w:rsidRDefault="004D6C5D" w:rsidP="004D6C5D">
      <w:pPr>
        <w:snapToGrid w:val="0"/>
        <w:spacing w:line="0" w:lineRule="atLeast"/>
        <w:ind w:leftChars="800" w:left="2157" w:rightChars="-3" w:right="-7" w:hangingChars="91" w:hanging="237"/>
        <w:jc w:val="both"/>
        <w:rPr>
          <w:rFonts w:ascii="標楷體" w:eastAsia="標楷體" w:hAnsi="標楷體"/>
          <w:sz w:val="26"/>
        </w:rPr>
      </w:pPr>
      <w:r w:rsidRPr="00ED263C">
        <w:rPr>
          <w:rFonts w:ascii="標楷體" w:eastAsia="標楷體" w:hAnsi="標楷體" w:hint="eastAsia"/>
          <w:sz w:val="26"/>
        </w:rPr>
        <w:t>(二)</w:t>
      </w:r>
      <w:r w:rsidRPr="00E74B80">
        <w:rPr>
          <w:rFonts w:ascii="標楷體" w:eastAsia="標楷體" w:hAnsi="標楷體" w:hint="eastAsia"/>
          <w:sz w:val="26"/>
        </w:rPr>
        <w:t>不得採點對點之直接連接之線圖方式來呈現基金績效表現之走</w:t>
      </w:r>
    </w:p>
    <w:p w:rsidR="004D6C5D" w:rsidRPr="00E74B80" w:rsidRDefault="004D6C5D" w:rsidP="004D6C5D">
      <w:pPr>
        <w:snapToGrid w:val="0"/>
        <w:spacing w:line="0" w:lineRule="atLeast"/>
        <w:ind w:leftChars="207" w:left="497" w:rightChars="-3" w:right="-7" w:firstLineChars="746" w:firstLine="1940"/>
        <w:jc w:val="both"/>
        <w:rPr>
          <w:rFonts w:ascii="標楷體" w:eastAsia="標楷體" w:hAnsi="標楷體"/>
          <w:sz w:val="26"/>
        </w:rPr>
      </w:pPr>
      <w:r w:rsidRPr="00E74B80">
        <w:rPr>
          <w:rFonts w:ascii="標楷體" w:eastAsia="標楷體" w:hAnsi="標楷體" w:hint="eastAsia"/>
          <w:sz w:val="26"/>
        </w:rPr>
        <w:t>勢</w:t>
      </w:r>
      <w:r w:rsidRPr="00ED263C">
        <w:rPr>
          <w:rFonts w:ascii="標楷體" w:eastAsia="標楷體" w:hAnsi="標楷體"/>
          <w:sz w:val="26"/>
        </w:rPr>
        <w:t>。</w:t>
      </w:r>
    </w:p>
    <w:p w:rsidR="004D6C5D" w:rsidRPr="00E74B80" w:rsidRDefault="004D6C5D" w:rsidP="004D6C5D">
      <w:pPr>
        <w:snapToGrid w:val="0"/>
        <w:spacing w:line="0" w:lineRule="atLeast"/>
        <w:ind w:leftChars="800" w:left="2157" w:rightChars="-3" w:right="-7" w:hangingChars="91" w:hanging="237"/>
        <w:jc w:val="both"/>
        <w:rPr>
          <w:rFonts w:ascii="標楷體" w:eastAsia="標楷體" w:hAnsi="標楷體"/>
          <w:sz w:val="26"/>
        </w:rPr>
      </w:pPr>
      <w:r w:rsidRPr="00ED263C">
        <w:rPr>
          <w:rFonts w:ascii="標楷體" w:eastAsia="標楷體" w:hAnsi="標楷體" w:hint="eastAsia"/>
          <w:sz w:val="26"/>
        </w:rPr>
        <w:t>(三)</w:t>
      </w:r>
      <w:r w:rsidRPr="00E74B80">
        <w:rPr>
          <w:rFonts w:ascii="標楷體" w:eastAsia="標楷體" w:hAnsi="標楷體" w:hint="eastAsia"/>
          <w:sz w:val="26"/>
        </w:rPr>
        <w:t>若以線圖呈現基金績效，基金成立未滿三年者，應揭示該基金自</w:t>
      </w:r>
    </w:p>
    <w:p w:rsidR="004D6C5D" w:rsidRPr="00E74B80" w:rsidRDefault="004D6C5D" w:rsidP="004D6C5D">
      <w:pPr>
        <w:snapToGrid w:val="0"/>
        <w:spacing w:line="0" w:lineRule="atLeast"/>
        <w:ind w:leftChars="880" w:left="2112" w:rightChars="-3" w:right="-7" w:firstLineChars="100" w:firstLine="260"/>
        <w:jc w:val="both"/>
        <w:rPr>
          <w:rFonts w:ascii="標楷體" w:eastAsia="標楷體" w:hAnsi="標楷體"/>
          <w:sz w:val="26"/>
        </w:rPr>
      </w:pPr>
      <w:r w:rsidRPr="00E74B80">
        <w:rPr>
          <w:rFonts w:ascii="標楷體" w:eastAsia="標楷體" w:hAnsi="標楷體" w:hint="eastAsia"/>
          <w:sz w:val="26"/>
        </w:rPr>
        <w:t>成立以來之績效，基金成立滿三年（含）者，得自行決定揭示自</w:t>
      </w:r>
    </w:p>
    <w:p w:rsidR="004D6C5D" w:rsidRPr="00E74B80" w:rsidRDefault="004D6C5D" w:rsidP="004D6C5D">
      <w:pPr>
        <w:snapToGrid w:val="0"/>
        <w:spacing w:line="0" w:lineRule="atLeast"/>
        <w:ind w:leftChars="880" w:left="2112" w:rightChars="-3" w:right="-7" w:firstLineChars="100" w:firstLine="260"/>
        <w:jc w:val="both"/>
        <w:rPr>
          <w:rFonts w:ascii="標楷體" w:eastAsia="標楷體" w:hAnsi="標楷體"/>
          <w:sz w:val="26"/>
        </w:rPr>
      </w:pPr>
      <w:r w:rsidRPr="00E74B80">
        <w:rPr>
          <w:rFonts w:ascii="標楷體" w:eastAsia="標楷體" w:hAnsi="標楷體" w:hint="eastAsia"/>
          <w:sz w:val="26"/>
        </w:rPr>
        <w:t>成立以來之績效或最近三年之績效，且不得對上揭績效的揭示期</w:t>
      </w:r>
    </w:p>
    <w:p w:rsidR="004D6C5D" w:rsidRPr="00E74B80" w:rsidRDefault="004D6C5D" w:rsidP="004D6C5D">
      <w:pPr>
        <w:snapToGrid w:val="0"/>
        <w:spacing w:line="0" w:lineRule="atLeast"/>
        <w:ind w:leftChars="880" w:left="2112" w:rightChars="-3" w:right="-7" w:firstLineChars="100" w:firstLine="260"/>
        <w:jc w:val="both"/>
        <w:rPr>
          <w:rFonts w:ascii="標楷體" w:eastAsia="標楷體" w:hAnsi="標楷體"/>
          <w:sz w:val="26"/>
        </w:rPr>
      </w:pPr>
      <w:r w:rsidRPr="00E74B80">
        <w:rPr>
          <w:rFonts w:ascii="標楷體" w:eastAsia="標楷體" w:hAnsi="標楷體" w:hint="eastAsia"/>
          <w:sz w:val="26"/>
        </w:rPr>
        <w:t>間作特定期間之壓縮或放大</w:t>
      </w:r>
      <w:r w:rsidRPr="00ED263C">
        <w:rPr>
          <w:rFonts w:ascii="標楷體" w:eastAsia="標楷體" w:hAnsi="標楷體" w:hint="eastAsia"/>
          <w:sz w:val="26"/>
        </w:rPr>
        <w:t>。</w:t>
      </w:r>
    </w:p>
    <w:p w:rsidR="004D6C5D" w:rsidRPr="00E74B80" w:rsidRDefault="004D6C5D" w:rsidP="004D6C5D">
      <w:pPr>
        <w:snapToGrid w:val="0"/>
        <w:spacing w:line="0" w:lineRule="atLeast"/>
        <w:ind w:leftChars="800" w:left="2157" w:rightChars="-3" w:right="-7" w:hangingChars="91" w:hanging="237"/>
        <w:jc w:val="both"/>
        <w:rPr>
          <w:rFonts w:ascii="標楷體" w:eastAsia="標楷體" w:hAnsi="標楷體"/>
          <w:sz w:val="26"/>
        </w:rPr>
      </w:pPr>
      <w:r w:rsidRPr="00ED263C">
        <w:rPr>
          <w:rFonts w:ascii="標楷體" w:eastAsia="標楷體" w:hAnsi="標楷體" w:hint="eastAsia"/>
          <w:sz w:val="26"/>
        </w:rPr>
        <w:t>(四)</w:t>
      </w:r>
      <w:r w:rsidRPr="00E74B80">
        <w:rPr>
          <w:rFonts w:ascii="標楷體" w:eastAsia="標楷體" w:hAnsi="標楷體" w:hint="eastAsia"/>
          <w:sz w:val="26"/>
        </w:rPr>
        <w:t>基金績效與指標（benchmark） 作比較時，除比較基期及計算幣</w:t>
      </w:r>
    </w:p>
    <w:p w:rsidR="004D6C5D" w:rsidRPr="00E74B80" w:rsidRDefault="004D6C5D" w:rsidP="004D6C5D">
      <w:pPr>
        <w:snapToGrid w:val="0"/>
        <w:spacing w:line="0" w:lineRule="atLeast"/>
        <w:ind w:leftChars="899" w:left="2158" w:rightChars="-3" w:right="-7" w:firstLineChars="100" w:firstLine="260"/>
        <w:jc w:val="both"/>
        <w:rPr>
          <w:rFonts w:ascii="標楷體" w:eastAsia="標楷體" w:hAnsi="標楷體"/>
          <w:sz w:val="26"/>
        </w:rPr>
      </w:pPr>
      <w:r w:rsidRPr="00E74B80">
        <w:rPr>
          <w:rFonts w:ascii="標楷體" w:eastAsia="標楷體" w:hAnsi="標楷體" w:hint="eastAsia"/>
          <w:sz w:val="26"/>
        </w:rPr>
        <w:t>別應一致外，該指標（benchmark） 應由期貨信託事業檢具相關</w:t>
      </w:r>
    </w:p>
    <w:p w:rsidR="004D6C5D" w:rsidRPr="00E74B80" w:rsidRDefault="004D6C5D" w:rsidP="004D6C5D">
      <w:pPr>
        <w:snapToGrid w:val="0"/>
        <w:spacing w:line="0" w:lineRule="atLeast"/>
        <w:ind w:leftChars="899" w:left="2158" w:rightChars="-3" w:right="-7" w:firstLineChars="100" w:firstLine="260"/>
        <w:jc w:val="both"/>
        <w:rPr>
          <w:rFonts w:ascii="標楷體" w:eastAsia="標楷體" w:hAnsi="標楷體"/>
          <w:sz w:val="26"/>
        </w:rPr>
      </w:pPr>
      <w:r w:rsidRPr="00E74B80">
        <w:rPr>
          <w:rFonts w:ascii="標楷體" w:eastAsia="標楷體" w:hAnsi="標楷體" w:hint="eastAsia"/>
          <w:sz w:val="26"/>
        </w:rPr>
        <w:t>證明文件，報經</w:t>
      </w:r>
      <w:r w:rsidRPr="00ED263C">
        <w:rPr>
          <w:rFonts w:ascii="標楷體" w:eastAsia="標楷體" w:hAnsi="標楷體" w:hint="eastAsia"/>
          <w:sz w:val="26"/>
        </w:rPr>
        <w:t>目的事業主管機關</w:t>
      </w:r>
      <w:r w:rsidRPr="00E74B80">
        <w:rPr>
          <w:rFonts w:ascii="標楷體" w:eastAsia="標楷體" w:hAnsi="標楷體" w:hint="eastAsia"/>
          <w:sz w:val="26"/>
        </w:rPr>
        <w:t>核備後載明於基金公開說明</w:t>
      </w:r>
    </w:p>
    <w:p w:rsidR="004D6C5D" w:rsidRPr="00E74B80" w:rsidRDefault="004D6C5D" w:rsidP="004D6C5D">
      <w:pPr>
        <w:snapToGrid w:val="0"/>
        <w:spacing w:line="0" w:lineRule="atLeast"/>
        <w:ind w:leftChars="899" w:left="2158" w:rightChars="-3" w:right="-7" w:firstLineChars="100" w:firstLine="260"/>
        <w:jc w:val="both"/>
        <w:rPr>
          <w:rFonts w:ascii="標楷體" w:eastAsia="標楷體" w:hAnsi="標楷體"/>
          <w:sz w:val="26"/>
        </w:rPr>
      </w:pPr>
      <w:r w:rsidRPr="00E74B80">
        <w:rPr>
          <w:rFonts w:ascii="標楷體" w:eastAsia="標楷體" w:hAnsi="標楷體" w:hint="eastAsia"/>
          <w:sz w:val="26"/>
        </w:rPr>
        <w:t>書，並於通知本公會後始得為之；指標（benchmark）有變動時，</w:t>
      </w:r>
    </w:p>
    <w:p w:rsidR="004D6C5D" w:rsidRPr="00E74B80" w:rsidRDefault="004D6C5D" w:rsidP="004D6C5D">
      <w:pPr>
        <w:snapToGrid w:val="0"/>
        <w:spacing w:line="0" w:lineRule="atLeast"/>
        <w:ind w:leftChars="899" w:left="2158" w:rightChars="-3" w:right="-7" w:firstLineChars="100" w:firstLine="260"/>
        <w:jc w:val="both"/>
        <w:rPr>
          <w:rFonts w:ascii="標楷體" w:eastAsia="標楷體" w:hAnsi="標楷體"/>
          <w:sz w:val="26"/>
        </w:rPr>
      </w:pPr>
      <w:r w:rsidRPr="00E74B80">
        <w:rPr>
          <w:rFonts w:ascii="標楷體" w:eastAsia="標楷體" w:hAnsi="標楷體" w:hint="eastAsia"/>
          <w:sz w:val="26"/>
        </w:rPr>
        <w:t>亦同。</w:t>
      </w:r>
    </w:p>
    <w:p w:rsidR="004D6C5D" w:rsidRPr="00E74B80" w:rsidRDefault="004D6C5D" w:rsidP="004D6C5D">
      <w:pPr>
        <w:snapToGrid w:val="0"/>
        <w:spacing w:line="0" w:lineRule="atLeast"/>
        <w:ind w:leftChars="798" w:left="2175" w:rightChars="-3" w:right="-7" w:hangingChars="100" w:hanging="260"/>
        <w:jc w:val="both"/>
        <w:rPr>
          <w:rFonts w:ascii="標楷體" w:eastAsia="標楷體" w:hAnsi="標楷體"/>
          <w:sz w:val="26"/>
        </w:rPr>
      </w:pPr>
      <w:r w:rsidRPr="00ED263C">
        <w:rPr>
          <w:rFonts w:ascii="標楷體" w:eastAsia="標楷體" w:hAnsi="標楷體" w:hint="eastAsia"/>
          <w:sz w:val="26"/>
        </w:rPr>
        <w:t>(五)</w:t>
      </w:r>
      <w:r w:rsidRPr="00E74B80">
        <w:rPr>
          <w:rFonts w:ascii="標楷體" w:eastAsia="標楷體" w:hAnsi="標楷體" w:hint="eastAsia"/>
          <w:sz w:val="26"/>
        </w:rPr>
        <w:t>基金績效加諸文字形容時，除須一併揭示該基金之全部績效（成</w:t>
      </w:r>
    </w:p>
    <w:p w:rsidR="004D6C5D" w:rsidRPr="00E74B80" w:rsidRDefault="004D6C5D" w:rsidP="004D6C5D">
      <w:pPr>
        <w:snapToGrid w:val="0"/>
        <w:spacing w:line="0" w:lineRule="atLeast"/>
        <w:ind w:leftChars="906" w:left="2174" w:rightChars="-3" w:right="-7" w:firstLineChars="100" w:firstLine="260"/>
        <w:jc w:val="both"/>
        <w:rPr>
          <w:rFonts w:ascii="標楷體" w:eastAsia="標楷體" w:hAnsi="標楷體"/>
          <w:sz w:val="26"/>
        </w:rPr>
      </w:pPr>
      <w:r w:rsidRPr="00E74B80">
        <w:rPr>
          <w:rFonts w:ascii="標楷體" w:eastAsia="標楷體" w:hAnsi="標楷體" w:hint="eastAsia"/>
          <w:sz w:val="26"/>
        </w:rPr>
        <w:t>立滿六個月以上者，指三個月、六個月、一年、二年及自成立日</w:t>
      </w:r>
    </w:p>
    <w:p w:rsidR="004D6C5D" w:rsidRPr="00E74B80" w:rsidRDefault="004D6C5D" w:rsidP="004D6C5D">
      <w:pPr>
        <w:snapToGrid w:val="0"/>
        <w:spacing w:line="0" w:lineRule="atLeast"/>
        <w:ind w:leftChars="906" w:left="2174" w:rightChars="-3" w:right="-7" w:firstLineChars="100" w:firstLine="260"/>
        <w:jc w:val="both"/>
        <w:rPr>
          <w:rFonts w:ascii="標楷體" w:eastAsia="標楷體" w:hAnsi="標楷體"/>
          <w:sz w:val="26"/>
        </w:rPr>
      </w:pPr>
      <w:r w:rsidRPr="00E74B80">
        <w:rPr>
          <w:rFonts w:ascii="標楷體" w:eastAsia="標楷體" w:hAnsi="標楷體" w:hint="eastAsia"/>
          <w:sz w:val="26"/>
        </w:rPr>
        <w:t>之績效；成立滿三年者，指一年、二年及三年之績效）及同類型</w:t>
      </w:r>
    </w:p>
    <w:p w:rsidR="004D6C5D" w:rsidRPr="00E74B80" w:rsidRDefault="004D6C5D" w:rsidP="004D6C5D">
      <w:pPr>
        <w:snapToGrid w:val="0"/>
        <w:spacing w:line="0" w:lineRule="atLeast"/>
        <w:ind w:leftChars="906" w:left="2174" w:rightChars="-3" w:right="-7" w:firstLineChars="100" w:firstLine="260"/>
        <w:jc w:val="both"/>
        <w:rPr>
          <w:rFonts w:ascii="標楷體" w:eastAsia="標楷體" w:hAnsi="標楷體"/>
          <w:sz w:val="26"/>
        </w:rPr>
      </w:pPr>
      <w:r w:rsidRPr="00E74B80">
        <w:rPr>
          <w:rFonts w:ascii="標楷體" w:eastAsia="標楷體" w:hAnsi="標楷體" w:hint="eastAsia"/>
          <w:sz w:val="26"/>
        </w:rPr>
        <w:t>基金績效平均數或指標（benchmark） 外，該基金之各期間績效</w:t>
      </w:r>
    </w:p>
    <w:p w:rsidR="004D6C5D" w:rsidRPr="00E74B80" w:rsidRDefault="004D6C5D" w:rsidP="004D6C5D">
      <w:pPr>
        <w:snapToGrid w:val="0"/>
        <w:spacing w:line="0" w:lineRule="atLeast"/>
        <w:ind w:leftChars="906" w:left="2174" w:rightChars="-3" w:right="-7" w:firstLineChars="100" w:firstLine="260"/>
        <w:jc w:val="both"/>
        <w:rPr>
          <w:rFonts w:ascii="標楷體" w:eastAsia="標楷體" w:hAnsi="標楷體"/>
          <w:sz w:val="26"/>
        </w:rPr>
      </w:pPr>
      <w:r w:rsidRPr="00E74B80">
        <w:rPr>
          <w:rFonts w:ascii="標楷體" w:eastAsia="標楷體" w:hAnsi="標楷體" w:hint="eastAsia"/>
          <w:sz w:val="26"/>
        </w:rPr>
        <w:t>排名應為同類型基金之前 1/2者。</w:t>
      </w:r>
    </w:p>
    <w:p w:rsidR="004D6C5D" w:rsidRPr="00E74B80" w:rsidRDefault="004D6C5D" w:rsidP="004D6C5D">
      <w:pPr>
        <w:snapToGrid w:val="0"/>
        <w:spacing w:line="0" w:lineRule="atLeast"/>
        <w:ind w:leftChars="800" w:left="2266" w:hangingChars="133" w:hanging="346"/>
        <w:jc w:val="both"/>
        <w:rPr>
          <w:rFonts w:ascii="標楷體" w:eastAsia="標楷體" w:hAnsi="標楷體"/>
          <w:sz w:val="26"/>
        </w:rPr>
      </w:pPr>
      <w:r w:rsidRPr="00ED263C">
        <w:rPr>
          <w:rFonts w:ascii="標楷體" w:eastAsia="標楷體" w:hAnsi="標楷體" w:hint="eastAsia"/>
          <w:sz w:val="26"/>
        </w:rPr>
        <w:t>(六)</w:t>
      </w:r>
      <w:r w:rsidRPr="00E74B80">
        <w:rPr>
          <w:rFonts w:ascii="標楷體" w:eastAsia="標楷體" w:hAnsi="標楷體" w:hint="eastAsia"/>
          <w:sz w:val="26"/>
        </w:rPr>
        <w:t>如非以主要（primary） 類股之績效揭示，應同時揭示該類股之</w:t>
      </w:r>
    </w:p>
    <w:p w:rsidR="004D6C5D" w:rsidRPr="00E74B80" w:rsidRDefault="004D6C5D" w:rsidP="004D6C5D">
      <w:pPr>
        <w:snapToGrid w:val="0"/>
        <w:spacing w:line="0" w:lineRule="atLeast"/>
        <w:ind w:leftChars="944" w:left="2266" w:firstLineChars="100" w:firstLine="260"/>
        <w:jc w:val="both"/>
        <w:rPr>
          <w:rFonts w:ascii="標楷體" w:eastAsia="標楷體" w:hAnsi="標楷體"/>
          <w:sz w:val="26"/>
        </w:rPr>
      </w:pPr>
      <w:r w:rsidRPr="00E74B80">
        <w:rPr>
          <w:rFonts w:ascii="標楷體" w:eastAsia="標楷體" w:hAnsi="標楷體" w:hint="eastAsia"/>
          <w:sz w:val="26"/>
        </w:rPr>
        <w:t>級別（例如：資料來源：Lipper／類股：A 累積）。</w:t>
      </w:r>
    </w:p>
    <w:p w:rsidR="004D6C5D" w:rsidRPr="00F237D1" w:rsidRDefault="004D6C5D" w:rsidP="004D6C5D">
      <w:pPr>
        <w:widowControl w:val="0"/>
        <w:spacing w:before="60"/>
        <w:ind w:leftChars="550" w:left="1840" w:hangingChars="200" w:hanging="520"/>
        <w:jc w:val="both"/>
        <w:rPr>
          <w:rFonts w:ascii="標楷體" w:eastAsia="標楷體" w:hAnsi="標楷體"/>
          <w:sz w:val="26"/>
        </w:rPr>
      </w:pPr>
      <w:r w:rsidRPr="00E74B80">
        <w:rPr>
          <w:rFonts w:ascii="標楷體" w:eastAsia="標楷體" w:hAnsi="標楷體" w:hint="eastAsia"/>
          <w:sz w:val="26"/>
        </w:rPr>
        <w:t>三、以基金績效作為廣告者，應以本公會認可之專家學者、理柏（Lipper）、晨星（Morningstar） 或嘉實資訊（股）公司等基金評鑑機構所作之評比資料為標準。</w:t>
      </w:r>
    </w:p>
    <w:p w:rsidR="004D6C5D" w:rsidRPr="00CA47B4" w:rsidRDefault="004D6C5D" w:rsidP="004D6C5D">
      <w:pPr>
        <w:widowControl w:val="0"/>
        <w:spacing w:before="60"/>
        <w:ind w:leftChars="550" w:left="1840" w:hangingChars="200" w:hanging="520"/>
        <w:jc w:val="both"/>
        <w:rPr>
          <w:rFonts w:ascii="標楷體" w:eastAsia="標楷體" w:hAnsi="標楷體"/>
          <w:sz w:val="26"/>
        </w:rPr>
      </w:pPr>
      <w:r w:rsidRPr="00CA47B4">
        <w:rPr>
          <w:rFonts w:ascii="標楷體" w:eastAsia="標楷體" w:hAnsi="標楷體" w:hint="eastAsia"/>
          <w:sz w:val="26"/>
        </w:rPr>
        <w:t>四、與其他期貨信託基金之基金績效比較時，應使用同一國內、外機構之統計或分析資料，且須換算成相同幣別將全部同類型基金之績效均列入並以相同計算基礎比較。全部同類型基金之績效得以該分類之全體平均值替代。</w:t>
      </w:r>
    </w:p>
    <w:p w:rsidR="004D6C5D" w:rsidRPr="00CA47B4" w:rsidRDefault="004D6C5D" w:rsidP="004D6C5D">
      <w:pPr>
        <w:widowControl w:val="0"/>
        <w:spacing w:before="60"/>
        <w:ind w:leftChars="550" w:left="1840" w:hangingChars="200" w:hanging="520"/>
        <w:jc w:val="both"/>
        <w:rPr>
          <w:rFonts w:ascii="標楷體" w:eastAsia="標楷體" w:hAnsi="標楷體"/>
          <w:sz w:val="26"/>
        </w:rPr>
      </w:pPr>
      <w:r w:rsidRPr="00CA47B4">
        <w:rPr>
          <w:rFonts w:ascii="標楷體" w:eastAsia="標楷體" w:hAnsi="標楷體" w:hint="eastAsia"/>
          <w:sz w:val="26"/>
        </w:rPr>
        <w:t>五、以模擬過去績效之方式作為廣告內容時，應針對該模擬績效之運算模型或模組及假設條件等相關資訊，加以詳細之附註說明於旁，並依本公會所定規範（如附件一）對其風險作平衡報導，且其字體大小不得小於該模擬績效廣告部分之字體。</w:t>
      </w:r>
    </w:p>
    <w:p w:rsidR="004D6C5D" w:rsidRPr="00E74B80" w:rsidRDefault="004D6C5D" w:rsidP="004D6C5D">
      <w:pPr>
        <w:widowControl w:val="0"/>
        <w:spacing w:before="60"/>
        <w:ind w:leftChars="550" w:left="1840" w:hangingChars="200" w:hanging="520"/>
        <w:jc w:val="both"/>
        <w:rPr>
          <w:rFonts w:ascii="標楷體" w:eastAsia="標楷體" w:hAnsi="標楷體"/>
          <w:sz w:val="26"/>
        </w:rPr>
      </w:pPr>
      <w:r w:rsidRPr="00E74B80">
        <w:rPr>
          <w:rFonts w:ascii="標楷體" w:eastAsia="標楷體" w:hAnsi="標楷體" w:hint="eastAsia"/>
          <w:sz w:val="26"/>
        </w:rPr>
        <w:t>六、以基金定時定額投資績效為廣告時，應以本項第三款所作之評比資料為標準，惟可按基金扣款情形予以調整，但應確實核對數字之正確性，且須遵守下列事項：</w:t>
      </w:r>
    </w:p>
    <w:p w:rsidR="004D6C5D" w:rsidRPr="00F237D1" w:rsidRDefault="004D6C5D" w:rsidP="004D6C5D">
      <w:pPr>
        <w:snapToGrid w:val="0"/>
        <w:spacing w:line="0" w:lineRule="atLeast"/>
        <w:ind w:leftChars="800" w:left="2440" w:rightChars="-3" w:right="-7" w:hangingChars="200" w:hanging="520"/>
        <w:jc w:val="both"/>
        <w:rPr>
          <w:rFonts w:ascii="標楷體" w:eastAsia="標楷體" w:hAnsi="標楷體"/>
          <w:sz w:val="26"/>
        </w:rPr>
      </w:pPr>
      <w:r w:rsidRPr="00F237D1">
        <w:rPr>
          <w:rFonts w:ascii="標楷體" w:eastAsia="標楷體" w:hAnsi="標楷體" w:hint="eastAsia"/>
          <w:sz w:val="26"/>
        </w:rPr>
        <w:t>(一)須載明投資績效計算期間且為迄最近日期資料及扣款日期。</w:t>
      </w:r>
    </w:p>
    <w:p w:rsidR="004D6C5D" w:rsidRPr="00F237D1" w:rsidRDefault="004D6C5D" w:rsidP="004D6C5D">
      <w:pPr>
        <w:snapToGrid w:val="0"/>
        <w:spacing w:line="0" w:lineRule="atLeast"/>
        <w:ind w:leftChars="800" w:left="2440" w:rightChars="-3" w:right="-7" w:hangingChars="200" w:hanging="520"/>
        <w:jc w:val="both"/>
        <w:rPr>
          <w:rFonts w:ascii="標楷體" w:eastAsia="標楷體" w:hAnsi="標楷體"/>
          <w:sz w:val="26"/>
        </w:rPr>
      </w:pPr>
      <w:r w:rsidRPr="00F237D1">
        <w:rPr>
          <w:rFonts w:ascii="標楷體" w:eastAsia="標楷體" w:hAnsi="標楷體" w:hint="eastAsia"/>
          <w:sz w:val="26"/>
        </w:rPr>
        <w:t>(二)投資績效若以原計價幣別以外之其他幣別計算揭露者，應同時揭露以相同計算基礎所換算為原幣或新臺幣之投資績效。</w:t>
      </w:r>
    </w:p>
    <w:p w:rsidR="004D6C5D" w:rsidRPr="00F237D1" w:rsidRDefault="004D6C5D" w:rsidP="004D6C5D">
      <w:pPr>
        <w:snapToGrid w:val="0"/>
        <w:spacing w:line="0" w:lineRule="atLeast"/>
        <w:ind w:leftChars="800" w:left="2440" w:rightChars="-3" w:right="-7" w:hangingChars="200" w:hanging="520"/>
        <w:jc w:val="both"/>
        <w:rPr>
          <w:rFonts w:ascii="標楷體" w:eastAsia="標楷體" w:hAnsi="標楷體"/>
          <w:sz w:val="26"/>
        </w:rPr>
      </w:pPr>
      <w:r w:rsidRPr="00F237D1">
        <w:rPr>
          <w:rFonts w:ascii="標楷體" w:eastAsia="標楷體" w:hAnsi="標楷體" w:hint="eastAsia"/>
          <w:sz w:val="26"/>
        </w:rPr>
        <w:t>(三)基金須成立滿一年以上。</w:t>
      </w:r>
    </w:p>
    <w:p w:rsidR="004D6C5D" w:rsidRPr="00F237D1" w:rsidRDefault="004D6C5D" w:rsidP="004D6C5D">
      <w:pPr>
        <w:snapToGrid w:val="0"/>
        <w:spacing w:line="0" w:lineRule="atLeast"/>
        <w:ind w:leftChars="800" w:left="2440" w:rightChars="-3" w:right="-7" w:hangingChars="200" w:hanging="520"/>
        <w:jc w:val="both"/>
        <w:rPr>
          <w:rFonts w:ascii="標楷體" w:eastAsia="標楷體" w:hAnsi="標楷體"/>
          <w:sz w:val="26"/>
        </w:rPr>
      </w:pPr>
      <w:r w:rsidRPr="00F237D1">
        <w:rPr>
          <w:rFonts w:ascii="標楷體" w:eastAsia="標楷體" w:hAnsi="標楷體" w:hint="eastAsia"/>
          <w:sz w:val="26"/>
        </w:rPr>
        <w:t>(四)基金成立未滿三年者，應揭露一年、二年及自成立日以來之績效；基金成立滿三年以上者，應至少揭露三年之績效。前述績效應為迄最近日期資料且不得揭露一年（不含）以下期間之投資績效。</w:t>
      </w:r>
    </w:p>
    <w:p w:rsidR="004D6C5D" w:rsidRPr="00F237D1" w:rsidRDefault="004D6C5D" w:rsidP="004D6C5D">
      <w:pPr>
        <w:widowControl w:val="0"/>
        <w:spacing w:before="60"/>
        <w:ind w:leftChars="550" w:left="1840" w:hangingChars="200" w:hanging="520"/>
        <w:jc w:val="both"/>
        <w:rPr>
          <w:rFonts w:ascii="標楷體" w:eastAsia="標楷體" w:hAnsi="標楷體"/>
          <w:sz w:val="26"/>
        </w:rPr>
      </w:pPr>
      <w:r w:rsidRPr="00E74B80">
        <w:rPr>
          <w:rFonts w:ascii="標楷體" w:eastAsia="標楷體" w:hAnsi="標楷體" w:hint="eastAsia"/>
          <w:sz w:val="26"/>
        </w:rPr>
        <w:t>七、以原計價幣別以外之其</w:t>
      </w:r>
      <w:r w:rsidRPr="00F237D1">
        <w:rPr>
          <w:rFonts w:ascii="標楷體" w:eastAsia="標楷體" w:hAnsi="標楷體" w:hint="eastAsia"/>
          <w:sz w:val="26"/>
        </w:rPr>
        <w:t>他</w:t>
      </w:r>
      <w:r w:rsidRPr="00E74B80">
        <w:rPr>
          <w:rFonts w:ascii="標楷體" w:eastAsia="標楷體" w:hAnsi="標楷體" w:hint="eastAsia"/>
          <w:sz w:val="26"/>
        </w:rPr>
        <w:t>幣別之基金績效作為廣告者，應同時揭露以相同計算基礎所換算為原幣或新臺幣之基金績效。</w:t>
      </w:r>
    </w:p>
    <w:p w:rsidR="004D6C5D" w:rsidRPr="00F237D1" w:rsidRDefault="004D6C5D" w:rsidP="004D6C5D">
      <w:pPr>
        <w:widowControl w:val="0"/>
        <w:spacing w:before="60"/>
        <w:ind w:leftChars="550" w:left="1840" w:hangingChars="200" w:hanging="520"/>
        <w:jc w:val="both"/>
        <w:rPr>
          <w:rFonts w:ascii="標楷體" w:eastAsia="標楷體" w:hAnsi="標楷體"/>
          <w:sz w:val="26"/>
        </w:rPr>
      </w:pPr>
      <w:r w:rsidRPr="00F237D1">
        <w:rPr>
          <w:rFonts w:ascii="標楷體" w:eastAsia="標楷體" w:hAnsi="標楷體" w:hint="eastAsia"/>
          <w:sz w:val="26"/>
        </w:rPr>
        <w:t>八、廣告所列出之圖表，必須清楚展示其內容，不得有任何扭曲。</w:t>
      </w:r>
    </w:p>
    <w:p w:rsidR="004D6C5D" w:rsidRPr="00F237D1" w:rsidRDefault="004D6C5D" w:rsidP="004D6C5D">
      <w:pPr>
        <w:widowControl w:val="0"/>
        <w:spacing w:before="60"/>
        <w:ind w:leftChars="550" w:left="1840" w:hangingChars="200" w:hanging="520"/>
        <w:jc w:val="both"/>
        <w:rPr>
          <w:rFonts w:ascii="標楷體" w:eastAsia="標楷體" w:hAnsi="標楷體"/>
          <w:sz w:val="26"/>
        </w:rPr>
      </w:pPr>
      <w:r w:rsidRPr="00F237D1">
        <w:rPr>
          <w:rFonts w:ascii="標楷體" w:eastAsia="標楷體" w:hAnsi="標楷體" w:hint="eastAsia"/>
          <w:sz w:val="26"/>
        </w:rPr>
        <w:t>九、除基金屬性係以追求一定報酬率為主之特殊型基金且其追求之報酬率已於基金公開說明書中揭露並為一致性之資訊外，不得使用「追求○﹪報酬率、或○﹪年報酬率、或○﹪絕對報酬率」等相類用語為基金之廣告及促銷。但符合前述所定條件之特殊型基金於引用時，不得對報酬率部分特別以其他顏色或與其他文字比例顯不相當之方式呈現之，且應揭露自成立日以來之全部績效，以平衡風險報導。</w:t>
      </w:r>
    </w:p>
    <w:p w:rsidR="004D6C5D" w:rsidRPr="00F237D1" w:rsidRDefault="004D6C5D" w:rsidP="004D6C5D">
      <w:pPr>
        <w:widowControl w:val="0"/>
        <w:spacing w:before="60"/>
        <w:ind w:leftChars="550" w:left="1840" w:hangingChars="200" w:hanging="520"/>
        <w:jc w:val="both"/>
        <w:rPr>
          <w:rFonts w:ascii="標楷體" w:eastAsia="標楷體" w:hAnsi="標楷體"/>
          <w:sz w:val="26"/>
        </w:rPr>
      </w:pPr>
      <w:r w:rsidRPr="00E74B80">
        <w:rPr>
          <w:rFonts w:ascii="標楷體" w:eastAsia="標楷體" w:hAnsi="標楷體" w:hint="eastAsia"/>
          <w:sz w:val="26"/>
        </w:rPr>
        <w:t>十、不得以（任何期間）基金績效數值或排名資料為廣告標題、或訴求、或為任何特別標識，且廣告內文中刊載基金績效時，不得以劃有色框線、或放大字體、或粗黑字體或不同顏色字樣等顯著方式加以放大或強調。</w:t>
      </w:r>
    </w:p>
    <w:p w:rsidR="004D6C5D" w:rsidRDefault="004D6C5D" w:rsidP="004D6C5D">
      <w:pPr>
        <w:tabs>
          <w:tab w:val="num" w:pos="813"/>
          <w:tab w:val="num" w:pos="871"/>
        </w:tabs>
        <w:spacing w:before="60" w:line="0" w:lineRule="atLeast"/>
        <w:ind w:leftChars="550" w:left="2100" w:hangingChars="300" w:hanging="780"/>
        <w:jc w:val="both"/>
        <w:rPr>
          <w:rFonts w:ascii="標楷體" w:eastAsia="標楷體" w:hAnsi="標楷體"/>
          <w:sz w:val="26"/>
          <w:szCs w:val="28"/>
        </w:rPr>
      </w:pPr>
      <w:r w:rsidRPr="00E74B80">
        <w:rPr>
          <w:rFonts w:ascii="標楷體" w:eastAsia="標楷體" w:hAnsi="標楷體" w:hint="eastAsia"/>
          <w:sz w:val="26"/>
          <w:szCs w:val="28"/>
        </w:rPr>
        <w:t>十一、以基金績效外之其他業績數字為廣告，可引用之國內、外機構之統計或分析資料名單，期貨信託基金可引用者如附件二。但若作同類比較時，僅可使用同一來源。</w:t>
      </w:r>
    </w:p>
    <w:p w:rsidR="004D6C5D" w:rsidRPr="00ED263C" w:rsidRDefault="004D6C5D" w:rsidP="004D6C5D">
      <w:pPr>
        <w:tabs>
          <w:tab w:val="num" w:pos="813"/>
          <w:tab w:val="num" w:pos="871"/>
        </w:tabs>
        <w:spacing w:before="60" w:line="0" w:lineRule="atLeast"/>
        <w:ind w:leftChars="550" w:left="2100" w:hangingChars="300" w:hanging="780"/>
        <w:jc w:val="both"/>
        <w:rPr>
          <w:rFonts w:ascii="標楷體" w:eastAsia="標楷體" w:hAnsi="標楷體"/>
          <w:sz w:val="26"/>
          <w:szCs w:val="28"/>
        </w:rPr>
      </w:pPr>
      <w:r w:rsidRPr="00ED263C">
        <w:rPr>
          <w:rFonts w:ascii="標楷體" w:eastAsia="標楷體" w:hAnsi="標楷體" w:hint="eastAsia"/>
          <w:sz w:val="26"/>
          <w:szCs w:val="28"/>
        </w:rPr>
        <w:t>十二、期貨信託事業對投資人進行槓桿型期貨ETF及反向型期貨ETF之教育宣導，協助投資人瞭解該等期貨ETF產品之風險及特性，以基金績效與槓桿指數或反向指數(含期貨信託事業自行或委外計算之槓桿指數或反向指數)作單日或截取特定期間之比較者，得不受本項第二款序言「基金需成立滿六個月以上者，始能刊登」、第二款第一目、第二目及第四目規定之限制。</w:t>
      </w:r>
    </w:p>
    <w:p w:rsidR="004D6C5D" w:rsidRPr="00E74B80" w:rsidRDefault="004D6C5D" w:rsidP="004D6C5D">
      <w:pPr>
        <w:spacing w:before="120" w:line="0" w:lineRule="atLeast"/>
        <w:ind w:left="1321"/>
        <w:jc w:val="both"/>
        <w:rPr>
          <w:rFonts w:ascii="標楷體" w:eastAsia="標楷體" w:hAnsi="標楷體"/>
          <w:sz w:val="26"/>
          <w:szCs w:val="28"/>
        </w:rPr>
      </w:pPr>
      <w:r w:rsidRPr="00E74B80">
        <w:rPr>
          <w:rFonts w:ascii="標楷體" w:eastAsia="標楷體" w:hAnsi="標楷體" w:hint="eastAsia"/>
          <w:sz w:val="26"/>
          <w:szCs w:val="28"/>
        </w:rPr>
        <w:t>國內、外機構所為之統計或分析資料，如符合下列標準者，該機構得向本公會申請認可成為前項第十一款可引用之統計或分析資料名單：</w:t>
      </w:r>
    </w:p>
    <w:p w:rsidR="004D6C5D" w:rsidRPr="00E74B80" w:rsidRDefault="004D6C5D" w:rsidP="004D6C5D">
      <w:pPr>
        <w:tabs>
          <w:tab w:val="num" w:pos="720"/>
          <w:tab w:val="num" w:pos="871"/>
        </w:tabs>
        <w:spacing w:before="60" w:line="0" w:lineRule="atLeast"/>
        <w:ind w:leftChars="550" w:left="1840" w:hangingChars="200" w:hanging="520"/>
        <w:jc w:val="both"/>
        <w:rPr>
          <w:rFonts w:ascii="標楷體" w:eastAsia="標楷體" w:hAnsi="標楷體"/>
          <w:sz w:val="26"/>
          <w:szCs w:val="28"/>
        </w:rPr>
      </w:pPr>
      <w:r w:rsidRPr="00E74B80">
        <w:rPr>
          <w:rFonts w:ascii="標楷體" w:eastAsia="標楷體" w:hAnsi="標楷體" w:hint="eastAsia"/>
          <w:sz w:val="26"/>
          <w:szCs w:val="28"/>
        </w:rPr>
        <w:t>一、該機構與期貨信託事業間無利害關係。</w:t>
      </w:r>
    </w:p>
    <w:p w:rsidR="004D6C5D" w:rsidRPr="00E74B80" w:rsidRDefault="004D6C5D" w:rsidP="004D6C5D">
      <w:pPr>
        <w:tabs>
          <w:tab w:val="num" w:pos="840"/>
          <w:tab w:val="num" w:pos="871"/>
        </w:tabs>
        <w:spacing w:before="60" w:line="0" w:lineRule="atLeast"/>
        <w:ind w:leftChars="550" w:left="1840" w:hangingChars="200" w:hanging="520"/>
        <w:jc w:val="both"/>
        <w:rPr>
          <w:rFonts w:ascii="標楷體" w:eastAsia="標楷體" w:hAnsi="標楷體"/>
          <w:sz w:val="26"/>
          <w:szCs w:val="28"/>
        </w:rPr>
      </w:pPr>
      <w:r w:rsidRPr="00E74B80">
        <w:rPr>
          <w:rFonts w:ascii="標楷體" w:eastAsia="標楷體" w:hAnsi="標楷體" w:hint="eastAsia"/>
          <w:sz w:val="26"/>
          <w:szCs w:val="28"/>
        </w:rPr>
        <w:t>二、該機構使用之評鑑方法應公平、公正、客觀且被公開承認。</w:t>
      </w:r>
    </w:p>
    <w:p w:rsidR="004D6C5D" w:rsidRPr="00E74B80" w:rsidRDefault="004D6C5D" w:rsidP="004D6C5D">
      <w:pPr>
        <w:tabs>
          <w:tab w:val="num" w:pos="840"/>
          <w:tab w:val="num" w:pos="871"/>
        </w:tabs>
        <w:spacing w:before="60" w:line="0" w:lineRule="atLeast"/>
        <w:ind w:leftChars="550" w:left="1840" w:hangingChars="200" w:hanging="520"/>
        <w:jc w:val="both"/>
        <w:rPr>
          <w:rFonts w:ascii="標楷體" w:eastAsia="標楷體" w:hAnsi="標楷體"/>
          <w:sz w:val="26"/>
          <w:szCs w:val="28"/>
        </w:rPr>
      </w:pPr>
      <w:r w:rsidRPr="00E74B80">
        <w:rPr>
          <w:rFonts w:ascii="標楷體" w:eastAsia="標楷體" w:hAnsi="標楷體" w:hint="eastAsia"/>
          <w:sz w:val="26"/>
          <w:szCs w:val="28"/>
        </w:rPr>
        <w:t>三、評鑑範圍應具周延性，不能僅作選擇性或擇部分評比。</w:t>
      </w:r>
    </w:p>
    <w:p w:rsidR="004D6C5D" w:rsidRPr="00E74B80" w:rsidRDefault="004D6C5D" w:rsidP="004D6C5D">
      <w:pPr>
        <w:spacing w:before="60"/>
        <w:ind w:leftChars="550" w:left="1840" w:hangingChars="200" w:hanging="520"/>
        <w:jc w:val="both"/>
        <w:rPr>
          <w:rFonts w:eastAsia="標楷體"/>
          <w:sz w:val="26"/>
        </w:rPr>
      </w:pPr>
      <w:r w:rsidRPr="00E74B80">
        <w:rPr>
          <w:rFonts w:eastAsia="標楷體" w:hint="eastAsia"/>
          <w:sz w:val="26"/>
        </w:rPr>
        <w:t>四、該機構所作之評比或評選應具經常性及持續性。</w:t>
      </w:r>
    </w:p>
    <w:p w:rsidR="004D6C5D" w:rsidRPr="00E74B80" w:rsidRDefault="004D6C5D" w:rsidP="004D6C5D">
      <w:pPr>
        <w:spacing w:before="120"/>
        <w:ind w:left="1300" w:hangingChars="500" w:hanging="1300"/>
        <w:jc w:val="both"/>
        <w:rPr>
          <w:rFonts w:eastAsia="標楷體"/>
          <w:sz w:val="26"/>
        </w:rPr>
      </w:pPr>
      <w:r w:rsidRPr="00E74B80">
        <w:rPr>
          <w:rFonts w:eastAsia="標楷體" w:hint="eastAsia"/>
          <w:sz w:val="26"/>
        </w:rPr>
        <w:t>第十一條　期貨信託事業及基金銷售機構將基金廣告</w:t>
      </w:r>
      <w:r w:rsidRPr="00E74B80">
        <w:rPr>
          <w:rFonts w:ascii="標楷體" w:eastAsia="標楷體" w:hAnsi="標楷體" w:hint="eastAsia"/>
          <w:sz w:val="26"/>
        </w:rPr>
        <w:t>、業務招攬或營業促銷活動</w:t>
      </w:r>
      <w:r w:rsidRPr="00E74B80">
        <w:rPr>
          <w:rFonts w:eastAsia="標楷體" w:hint="eastAsia"/>
          <w:sz w:val="26"/>
        </w:rPr>
        <w:t>文宣放置於前開事業以外之提供投資人取得之場所時，不得僅放置基金開戶、申購或買回申請書件，且該場所之人員亦不得代為收受基金申購或買回申請書件。</w:t>
      </w:r>
    </w:p>
    <w:p w:rsidR="004D6C5D" w:rsidRPr="00E74B80" w:rsidRDefault="004D6C5D" w:rsidP="004D6C5D">
      <w:pPr>
        <w:spacing w:before="120"/>
        <w:ind w:left="1300" w:hangingChars="500" w:hanging="1300"/>
        <w:jc w:val="both"/>
        <w:rPr>
          <w:rFonts w:eastAsia="標楷體"/>
          <w:sz w:val="26"/>
        </w:rPr>
      </w:pPr>
      <w:r w:rsidRPr="00E74B80">
        <w:rPr>
          <w:rFonts w:eastAsia="標楷體" w:hint="eastAsia"/>
          <w:sz w:val="26"/>
        </w:rPr>
        <w:t>第十二條　本辦法經本公會理事會通過，報經目的事業主管機關備查後施行；修正時亦同。</w:t>
      </w:r>
    </w:p>
    <w:p w:rsidR="004D6C5D" w:rsidRPr="00E74B80" w:rsidRDefault="004D6C5D" w:rsidP="004D6C5D">
      <w:pPr>
        <w:kinsoku w:val="0"/>
        <w:snapToGrid w:val="0"/>
        <w:ind w:left="845" w:hangingChars="325" w:hanging="845"/>
        <w:jc w:val="both"/>
        <w:rPr>
          <w:rFonts w:ascii="標楷體" w:eastAsia="標楷體" w:hAnsi="標楷體"/>
          <w:b/>
          <w:bCs/>
        </w:rPr>
      </w:pPr>
      <w:r w:rsidRPr="00E74B80">
        <w:rPr>
          <w:rFonts w:eastAsia="標楷體"/>
          <w:sz w:val="26"/>
        </w:rPr>
        <w:br w:type="page"/>
      </w:r>
      <w:bookmarkStart w:id="2" w:name="附件一"/>
      <w:r w:rsidRPr="00E74B80">
        <w:rPr>
          <w:rFonts w:ascii="標楷體" w:eastAsia="標楷體" w:hAnsi="標楷體" w:hint="eastAsia"/>
          <w:b/>
          <w:bCs/>
        </w:rPr>
        <w:t>附件一</w:t>
      </w:r>
    </w:p>
    <w:bookmarkEnd w:id="2"/>
    <w:p w:rsidR="004D6C5D" w:rsidRPr="00E74B80" w:rsidRDefault="004D6C5D" w:rsidP="004D6C5D">
      <w:pPr>
        <w:pStyle w:val="Web"/>
        <w:widowControl w:val="0"/>
        <w:spacing w:before="0" w:beforeAutospacing="0" w:after="0" w:afterAutospacing="0"/>
        <w:jc w:val="both"/>
        <w:rPr>
          <w:rFonts w:ascii="標楷體" w:eastAsia="標楷體" w:hAnsi="標楷體"/>
          <w:kern w:val="2"/>
        </w:rPr>
      </w:pPr>
    </w:p>
    <w:p w:rsidR="004D6C5D" w:rsidRPr="00E74B80" w:rsidRDefault="004D6C5D" w:rsidP="004D6C5D">
      <w:pPr>
        <w:pStyle w:val="Web"/>
        <w:widowControl w:val="0"/>
        <w:spacing w:before="0" w:beforeAutospacing="0" w:afterLines="50" w:after="180" w:afterAutospacing="0"/>
        <w:jc w:val="both"/>
        <w:rPr>
          <w:rFonts w:ascii="標楷體" w:eastAsia="標楷體" w:hAnsi="標楷體"/>
          <w:b/>
          <w:bCs/>
          <w:kern w:val="2"/>
        </w:rPr>
      </w:pPr>
      <w:r w:rsidRPr="00E74B80">
        <w:rPr>
          <w:rFonts w:ascii="標楷體" w:eastAsia="標楷體" w:hAnsi="標楷體" w:hint="eastAsia"/>
          <w:kern w:val="2"/>
        </w:rPr>
        <w:t>以模擬過去績效之方式為廣告內容時，應對其風險作平衡報導之方式：</w:t>
      </w:r>
    </w:p>
    <w:tbl>
      <w:tblPr>
        <w:tblW w:w="9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8"/>
        <w:gridCol w:w="840"/>
        <w:gridCol w:w="5361"/>
        <w:gridCol w:w="2207"/>
      </w:tblGrid>
      <w:tr w:rsidR="004D6C5D" w:rsidRPr="00E74B80" w:rsidTr="001D1AE3">
        <w:trPr>
          <w:tblHeader/>
        </w:trPr>
        <w:tc>
          <w:tcPr>
            <w:tcW w:w="1588" w:type="dxa"/>
            <w:gridSpan w:val="2"/>
            <w:vAlign w:val="center"/>
          </w:tcPr>
          <w:p w:rsidR="004D6C5D" w:rsidRPr="00E74B80" w:rsidRDefault="004D6C5D" w:rsidP="001D1AE3">
            <w:pPr>
              <w:spacing w:line="0" w:lineRule="atLeast"/>
              <w:jc w:val="center"/>
              <w:rPr>
                <w:rFonts w:ascii="標楷體" w:eastAsia="標楷體" w:hAnsi="標楷體"/>
                <w:b/>
                <w:bCs/>
              </w:rPr>
            </w:pPr>
            <w:r w:rsidRPr="00E74B80">
              <w:rPr>
                <w:rFonts w:ascii="標楷體" w:eastAsia="標楷體" w:hAnsi="標楷體" w:hint="eastAsia"/>
                <w:b/>
                <w:bCs/>
              </w:rPr>
              <w:t>項目</w:t>
            </w:r>
          </w:p>
        </w:tc>
        <w:tc>
          <w:tcPr>
            <w:tcW w:w="5361" w:type="dxa"/>
            <w:vAlign w:val="center"/>
          </w:tcPr>
          <w:p w:rsidR="004D6C5D" w:rsidRPr="00E74B80" w:rsidRDefault="004D6C5D" w:rsidP="001D1AE3">
            <w:pPr>
              <w:spacing w:line="0" w:lineRule="atLeast"/>
              <w:jc w:val="center"/>
              <w:rPr>
                <w:rFonts w:ascii="標楷體" w:eastAsia="標楷體" w:hAnsi="標楷體"/>
                <w:b/>
                <w:bCs/>
              </w:rPr>
            </w:pPr>
            <w:r w:rsidRPr="00E74B80">
              <w:rPr>
                <w:rFonts w:ascii="標楷體" w:eastAsia="標楷體" w:hAnsi="標楷體" w:hint="eastAsia"/>
                <w:b/>
                <w:bCs/>
              </w:rPr>
              <w:t>規範內容</w:t>
            </w:r>
          </w:p>
        </w:tc>
        <w:tc>
          <w:tcPr>
            <w:tcW w:w="2207" w:type="dxa"/>
          </w:tcPr>
          <w:p w:rsidR="004D6C5D" w:rsidRPr="00E74B80" w:rsidRDefault="004D6C5D" w:rsidP="001D1AE3">
            <w:pPr>
              <w:spacing w:line="0" w:lineRule="atLeast"/>
              <w:jc w:val="center"/>
              <w:rPr>
                <w:rFonts w:ascii="標楷體" w:eastAsia="標楷體" w:hAnsi="標楷體"/>
                <w:b/>
                <w:bCs/>
              </w:rPr>
            </w:pPr>
            <w:r w:rsidRPr="00E74B80">
              <w:rPr>
                <w:rFonts w:ascii="標楷體" w:eastAsia="標楷體" w:hAnsi="標楷體" w:hint="eastAsia"/>
                <w:b/>
                <w:bCs/>
              </w:rPr>
              <w:t>說明</w:t>
            </w:r>
          </w:p>
        </w:tc>
      </w:tr>
      <w:tr w:rsidR="004D6C5D" w:rsidRPr="00E74B80" w:rsidTr="001D1AE3">
        <w:tc>
          <w:tcPr>
            <w:tcW w:w="1588" w:type="dxa"/>
            <w:gridSpan w:val="2"/>
            <w:vAlign w:val="center"/>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rPr>
              <w:t>適 用 範 圍</w:t>
            </w:r>
          </w:p>
        </w:tc>
        <w:tc>
          <w:tcPr>
            <w:tcW w:w="5361" w:type="dxa"/>
            <w:vAlign w:val="center"/>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szCs w:val="20"/>
              </w:rPr>
              <w:t>僅適用於採數量模型操作之基金。</w:t>
            </w:r>
          </w:p>
        </w:tc>
        <w:tc>
          <w:tcPr>
            <w:tcW w:w="2207" w:type="dxa"/>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rPr>
              <w:t>數量模型須有載於基金公開說明書，方可據以廣告促銷。</w:t>
            </w:r>
          </w:p>
        </w:tc>
      </w:tr>
      <w:tr w:rsidR="004D6C5D" w:rsidRPr="00E74B80" w:rsidTr="001D1AE3">
        <w:tc>
          <w:tcPr>
            <w:tcW w:w="1588" w:type="dxa"/>
            <w:gridSpan w:val="2"/>
            <w:vAlign w:val="center"/>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szCs w:val="20"/>
              </w:rPr>
              <w:t>模擬資料期間</w:t>
            </w:r>
          </w:p>
        </w:tc>
        <w:tc>
          <w:tcPr>
            <w:tcW w:w="5361" w:type="dxa"/>
            <w:vAlign w:val="center"/>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szCs w:val="20"/>
              </w:rPr>
              <w:t>不得低於2年。</w:t>
            </w:r>
          </w:p>
        </w:tc>
        <w:tc>
          <w:tcPr>
            <w:tcW w:w="2207" w:type="dxa"/>
          </w:tcPr>
          <w:p w:rsidR="004D6C5D" w:rsidRPr="00E74B80" w:rsidRDefault="004D6C5D" w:rsidP="001D1AE3">
            <w:pPr>
              <w:spacing w:line="0" w:lineRule="atLeast"/>
              <w:jc w:val="both"/>
              <w:rPr>
                <w:rFonts w:ascii="標楷體" w:eastAsia="標楷體" w:hAnsi="標楷體"/>
              </w:rPr>
            </w:pPr>
          </w:p>
        </w:tc>
      </w:tr>
      <w:tr w:rsidR="004D6C5D" w:rsidRPr="00E74B80" w:rsidTr="001D1AE3">
        <w:trPr>
          <w:cantSplit/>
          <w:trHeight w:val="1255"/>
        </w:trPr>
        <w:tc>
          <w:tcPr>
            <w:tcW w:w="1588" w:type="dxa"/>
            <w:gridSpan w:val="2"/>
            <w:tcBorders>
              <w:bottom w:val="single" w:sz="4" w:space="0" w:color="auto"/>
            </w:tcBorders>
            <w:vAlign w:val="center"/>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szCs w:val="20"/>
              </w:rPr>
              <w:t>資 料 來 源</w:t>
            </w:r>
          </w:p>
        </w:tc>
        <w:tc>
          <w:tcPr>
            <w:tcW w:w="5361" w:type="dxa"/>
            <w:tcBorders>
              <w:bottom w:val="single" w:sz="4" w:space="0" w:color="auto"/>
            </w:tcBorders>
            <w:vAlign w:val="center"/>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rPr>
              <w:t>標準普爾基金評鑑公司（Standard &amp; Poor’s Fund Services）、里伯（Lipper）</w:t>
            </w:r>
            <w:r w:rsidRPr="00E74B80">
              <w:rPr>
                <w:rFonts w:eastAsia="標楷體" w:hint="eastAsia"/>
                <w:bCs/>
              </w:rPr>
              <w:t>或晨星</w:t>
            </w:r>
            <w:r w:rsidRPr="00E74B80">
              <w:rPr>
                <w:rFonts w:ascii="標楷體" w:eastAsia="標楷體" w:hAnsi="標楷體" w:hint="eastAsia"/>
                <w:bCs/>
              </w:rPr>
              <w:t>（Morningstar）</w:t>
            </w:r>
            <w:r w:rsidRPr="00E74B80">
              <w:rPr>
                <w:rFonts w:ascii="標楷體" w:eastAsia="標楷體" w:hAnsi="標楷體" w:hint="eastAsia"/>
              </w:rPr>
              <w:t>基金評鑑機構、具公信力專家學者版本、Bloomberg、台灣經濟新報、各大交易所、Cmoney。</w:t>
            </w:r>
          </w:p>
        </w:tc>
        <w:tc>
          <w:tcPr>
            <w:tcW w:w="2207" w:type="dxa"/>
            <w:tcBorders>
              <w:bottom w:val="single" w:sz="4" w:space="0" w:color="auto"/>
            </w:tcBorders>
          </w:tcPr>
          <w:p w:rsidR="004D6C5D" w:rsidRPr="00E74B80" w:rsidRDefault="004D6C5D" w:rsidP="001D1AE3">
            <w:pPr>
              <w:spacing w:line="0" w:lineRule="atLeast"/>
              <w:jc w:val="both"/>
              <w:rPr>
                <w:rFonts w:ascii="標楷體" w:eastAsia="標楷體" w:hAnsi="標楷體"/>
              </w:rPr>
            </w:pPr>
          </w:p>
        </w:tc>
      </w:tr>
      <w:tr w:rsidR="004D6C5D" w:rsidRPr="00E74B80" w:rsidTr="001D1AE3">
        <w:tc>
          <w:tcPr>
            <w:tcW w:w="1588" w:type="dxa"/>
            <w:gridSpan w:val="2"/>
            <w:vAlign w:val="center"/>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szCs w:val="20"/>
              </w:rPr>
              <w:t>模型假設基礎</w:t>
            </w:r>
          </w:p>
        </w:tc>
        <w:tc>
          <w:tcPr>
            <w:tcW w:w="5361" w:type="dxa"/>
            <w:vAlign w:val="center"/>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rPr>
              <w:t>於廣告文宣資料加註「基金之操作模型請詳閱公開說明書」。</w:t>
            </w:r>
          </w:p>
        </w:tc>
        <w:tc>
          <w:tcPr>
            <w:tcW w:w="2207" w:type="dxa"/>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szCs w:val="20"/>
              </w:rPr>
              <w:t>請投資人詳閱公開說明書之詳細說明。</w:t>
            </w:r>
          </w:p>
        </w:tc>
      </w:tr>
      <w:tr w:rsidR="004D6C5D" w:rsidRPr="00E74B80" w:rsidTr="001D1AE3">
        <w:trPr>
          <w:cantSplit/>
          <w:trHeight w:val="1255"/>
        </w:trPr>
        <w:tc>
          <w:tcPr>
            <w:tcW w:w="1588" w:type="dxa"/>
            <w:gridSpan w:val="2"/>
            <w:tcBorders>
              <w:bottom w:val="single" w:sz="4" w:space="0" w:color="auto"/>
            </w:tcBorders>
            <w:vAlign w:val="center"/>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szCs w:val="20"/>
              </w:rPr>
              <w:t>警        語</w:t>
            </w:r>
          </w:p>
        </w:tc>
        <w:tc>
          <w:tcPr>
            <w:tcW w:w="5361" w:type="dxa"/>
            <w:tcBorders>
              <w:bottom w:val="single" w:sz="4" w:space="0" w:color="auto"/>
            </w:tcBorders>
            <w:vAlign w:val="center"/>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szCs w:val="20"/>
              </w:rPr>
              <w:t>加註「以上僅為歷史資料模擬回測結果，不代表本基金之未來績效保證」等文字，並且須以顯著字體方式呈現。</w:t>
            </w:r>
          </w:p>
        </w:tc>
        <w:tc>
          <w:tcPr>
            <w:tcW w:w="2207" w:type="dxa"/>
            <w:tcBorders>
              <w:bottom w:val="single" w:sz="4" w:space="0" w:color="auto"/>
            </w:tcBorders>
          </w:tcPr>
          <w:p w:rsidR="004D6C5D" w:rsidRPr="00E74B80" w:rsidRDefault="004D6C5D" w:rsidP="001D1AE3">
            <w:pPr>
              <w:spacing w:line="0" w:lineRule="atLeast"/>
              <w:jc w:val="both"/>
              <w:rPr>
                <w:rFonts w:ascii="標楷體" w:eastAsia="標楷體" w:hAnsi="標楷體"/>
              </w:rPr>
            </w:pPr>
          </w:p>
        </w:tc>
      </w:tr>
      <w:tr w:rsidR="004D6C5D" w:rsidRPr="00E74B80" w:rsidTr="001D1AE3">
        <w:trPr>
          <w:cantSplit/>
          <w:trHeight w:val="955"/>
        </w:trPr>
        <w:tc>
          <w:tcPr>
            <w:tcW w:w="1588" w:type="dxa"/>
            <w:gridSpan w:val="2"/>
            <w:tcBorders>
              <w:bottom w:val="single" w:sz="4" w:space="0" w:color="auto"/>
            </w:tcBorders>
            <w:vAlign w:val="center"/>
          </w:tcPr>
          <w:p w:rsidR="004D6C5D" w:rsidRPr="00E74B80" w:rsidRDefault="004D6C5D" w:rsidP="001D1AE3">
            <w:pPr>
              <w:spacing w:line="0" w:lineRule="atLeast"/>
              <w:jc w:val="both"/>
              <w:rPr>
                <w:rFonts w:ascii="標楷體" w:eastAsia="標楷體" w:hAnsi="標楷體"/>
                <w:szCs w:val="20"/>
              </w:rPr>
            </w:pPr>
            <w:r w:rsidRPr="00E74B80">
              <w:rPr>
                <w:rFonts w:ascii="標楷體" w:eastAsia="標楷體" w:hAnsi="標楷體" w:hint="eastAsia"/>
                <w:szCs w:val="20"/>
              </w:rPr>
              <w:t>風險平衡報導</w:t>
            </w:r>
          </w:p>
        </w:tc>
        <w:tc>
          <w:tcPr>
            <w:tcW w:w="5361" w:type="dxa"/>
            <w:tcBorders>
              <w:bottom w:val="single" w:sz="4" w:space="0" w:color="auto"/>
            </w:tcBorders>
            <w:vAlign w:val="center"/>
          </w:tcPr>
          <w:p w:rsidR="004D6C5D" w:rsidRPr="00E74B80" w:rsidRDefault="004D6C5D" w:rsidP="001D1AE3">
            <w:pPr>
              <w:spacing w:line="0" w:lineRule="atLeast"/>
              <w:jc w:val="both"/>
              <w:rPr>
                <w:rFonts w:ascii="標楷體" w:eastAsia="標楷體" w:hAnsi="標楷體"/>
                <w:szCs w:val="20"/>
              </w:rPr>
            </w:pPr>
            <w:r w:rsidRPr="00E74B80">
              <w:rPr>
                <w:rFonts w:ascii="標楷體" w:eastAsia="標楷體" w:hAnsi="標楷體" w:hint="eastAsia"/>
                <w:szCs w:val="20"/>
              </w:rPr>
              <w:t>年化標準差、或績效報酬率走勢圖、或期間最大下跌風險、或自相對高點回本天數。</w:t>
            </w:r>
          </w:p>
        </w:tc>
        <w:tc>
          <w:tcPr>
            <w:tcW w:w="2207" w:type="dxa"/>
            <w:tcBorders>
              <w:bottom w:val="single" w:sz="4" w:space="0" w:color="auto"/>
            </w:tcBorders>
          </w:tcPr>
          <w:p w:rsidR="004D6C5D" w:rsidRPr="00E74B80" w:rsidRDefault="004D6C5D" w:rsidP="001D1AE3">
            <w:pPr>
              <w:spacing w:line="0" w:lineRule="atLeast"/>
              <w:jc w:val="both"/>
              <w:rPr>
                <w:rFonts w:ascii="標楷體" w:eastAsia="標楷體" w:hAnsi="標楷體"/>
              </w:rPr>
            </w:pPr>
          </w:p>
        </w:tc>
      </w:tr>
      <w:tr w:rsidR="004D6C5D" w:rsidRPr="00E74B80" w:rsidTr="001D1AE3">
        <w:trPr>
          <w:cantSplit/>
          <w:trHeight w:val="175"/>
        </w:trPr>
        <w:tc>
          <w:tcPr>
            <w:tcW w:w="748" w:type="dxa"/>
            <w:vMerge w:val="restart"/>
            <w:vAlign w:val="center"/>
          </w:tcPr>
          <w:p w:rsidR="004D6C5D" w:rsidRPr="00E74B80" w:rsidRDefault="004D6C5D" w:rsidP="001D1AE3">
            <w:pPr>
              <w:spacing w:line="0" w:lineRule="atLeast"/>
              <w:jc w:val="both"/>
              <w:rPr>
                <w:rFonts w:ascii="標楷體" w:eastAsia="標楷體" w:hAnsi="標楷體"/>
                <w:szCs w:val="20"/>
              </w:rPr>
            </w:pPr>
            <w:r w:rsidRPr="00E74B80">
              <w:rPr>
                <w:rFonts w:ascii="標楷體" w:eastAsia="標楷體" w:hAnsi="標楷體" w:hint="eastAsia"/>
                <w:szCs w:val="20"/>
              </w:rPr>
              <w:t>不同情境分 析</w:t>
            </w:r>
          </w:p>
        </w:tc>
        <w:tc>
          <w:tcPr>
            <w:tcW w:w="840" w:type="dxa"/>
            <w:vMerge w:val="restart"/>
            <w:vAlign w:val="center"/>
          </w:tcPr>
          <w:p w:rsidR="004D6C5D" w:rsidRPr="00E74B80" w:rsidRDefault="004D6C5D" w:rsidP="001D1AE3">
            <w:pPr>
              <w:spacing w:line="0" w:lineRule="atLeast"/>
              <w:jc w:val="both"/>
              <w:rPr>
                <w:rFonts w:ascii="標楷體" w:eastAsia="標楷體" w:hAnsi="標楷體"/>
                <w:szCs w:val="20"/>
              </w:rPr>
            </w:pPr>
            <w:r w:rsidRPr="00E74B80">
              <w:rPr>
                <w:rFonts w:ascii="標楷體" w:eastAsia="標楷體" w:hAnsi="標楷體" w:hint="eastAsia"/>
                <w:szCs w:val="20"/>
              </w:rPr>
              <w:t>情境分 析</w:t>
            </w:r>
          </w:p>
        </w:tc>
        <w:tc>
          <w:tcPr>
            <w:tcW w:w="5361" w:type="dxa"/>
            <w:vAlign w:val="center"/>
          </w:tcPr>
          <w:p w:rsidR="004D6C5D" w:rsidRPr="00E74B80" w:rsidRDefault="004D6C5D" w:rsidP="001D1AE3">
            <w:pPr>
              <w:spacing w:line="0" w:lineRule="atLeast"/>
              <w:jc w:val="both"/>
              <w:rPr>
                <w:rFonts w:ascii="標楷體" w:eastAsia="標楷體" w:hAnsi="標楷體"/>
                <w:szCs w:val="20"/>
              </w:rPr>
            </w:pPr>
            <w:r w:rsidRPr="00E74B80">
              <w:rPr>
                <w:rFonts w:ascii="標楷體" w:eastAsia="標楷體" w:hAnsi="標楷體" w:hint="eastAsia"/>
                <w:szCs w:val="20"/>
              </w:rPr>
              <w:t>範例１：該金融市場上漲XXX點或下跌XXX點時該基金模擬績效表現</w:t>
            </w:r>
          </w:p>
        </w:tc>
        <w:tc>
          <w:tcPr>
            <w:tcW w:w="2207" w:type="dxa"/>
            <w:vMerge w:val="restart"/>
          </w:tcPr>
          <w:p w:rsidR="004D6C5D" w:rsidRPr="00E74B80" w:rsidRDefault="004D6C5D" w:rsidP="001D1AE3">
            <w:pPr>
              <w:spacing w:line="0" w:lineRule="atLeast"/>
              <w:jc w:val="both"/>
              <w:rPr>
                <w:rFonts w:ascii="標楷體" w:eastAsia="標楷體" w:hAnsi="標楷體"/>
              </w:rPr>
            </w:pPr>
            <w:r w:rsidRPr="00E74B80">
              <w:rPr>
                <w:rFonts w:ascii="標楷體" w:eastAsia="標楷體" w:hAnsi="標楷體" w:hint="eastAsia"/>
                <w:szCs w:val="20"/>
              </w:rPr>
              <w:t>就左列之不同情境分析，期貨信託業者可擇一使用。</w:t>
            </w:r>
          </w:p>
        </w:tc>
      </w:tr>
      <w:tr w:rsidR="004D6C5D" w:rsidRPr="00E74B80" w:rsidTr="001D1AE3">
        <w:trPr>
          <w:cantSplit/>
          <w:trHeight w:val="175"/>
        </w:trPr>
        <w:tc>
          <w:tcPr>
            <w:tcW w:w="748" w:type="dxa"/>
            <w:vMerge/>
            <w:vAlign w:val="center"/>
          </w:tcPr>
          <w:p w:rsidR="004D6C5D" w:rsidRPr="00E74B80" w:rsidRDefault="004D6C5D" w:rsidP="001D1AE3">
            <w:pPr>
              <w:spacing w:line="0" w:lineRule="atLeast"/>
              <w:jc w:val="both"/>
              <w:rPr>
                <w:rFonts w:ascii="標楷體" w:eastAsia="標楷體" w:hAnsi="標楷體"/>
                <w:szCs w:val="20"/>
              </w:rPr>
            </w:pPr>
          </w:p>
        </w:tc>
        <w:tc>
          <w:tcPr>
            <w:tcW w:w="840" w:type="dxa"/>
            <w:vMerge/>
            <w:vAlign w:val="center"/>
          </w:tcPr>
          <w:p w:rsidR="004D6C5D" w:rsidRPr="00E74B80" w:rsidRDefault="004D6C5D" w:rsidP="001D1AE3">
            <w:pPr>
              <w:spacing w:line="0" w:lineRule="atLeast"/>
              <w:jc w:val="both"/>
              <w:rPr>
                <w:rFonts w:ascii="標楷體" w:eastAsia="標楷體" w:hAnsi="標楷體"/>
                <w:szCs w:val="20"/>
              </w:rPr>
            </w:pPr>
          </w:p>
        </w:tc>
        <w:tc>
          <w:tcPr>
            <w:tcW w:w="5361" w:type="dxa"/>
            <w:vAlign w:val="center"/>
          </w:tcPr>
          <w:p w:rsidR="004D6C5D" w:rsidRPr="00E74B80" w:rsidRDefault="004D6C5D" w:rsidP="001D1AE3">
            <w:pPr>
              <w:spacing w:line="0" w:lineRule="atLeast"/>
              <w:jc w:val="both"/>
              <w:rPr>
                <w:rFonts w:ascii="標楷體" w:eastAsia="標楷體" w:hAnsi="標楷體"/>
                <w:szCs w:val="20"/>
              </w:rPr>
            </w:pPr>
            <w:r w:rsidRPr="00E74B80">
              <w:rPr>
                <w:rFonts w:ascii="標楷體" w:eastAsia="標楷體" w:hAnsi="標楷體" w:hint="eastAsia"/>
                <w:szCs w:val="20"/>
              </w:rPr>
              <w:t>範例２：該市場最佳表現或最壞表現時該基金模擬績效表現（一般所謂壓力測試）</w:t>
            </w:r>
          </w:p>
        </w:tc>
        <w:tc>
          <w:tcPr>
            <w:tcW w:w="2207" w:type="dxa"/>
            <w:vMerge/>
          </w:tcPr>
          <w:p w:rsidR="004D6C5D" w:rsidRPr="00E74B80" w:rsidRDefault="004D6C5D" w:rsidP="001D1AE3">
            <w:pPr>
              <w:spacing w:line="0" w:lineRule="atLeast"/>
              <w:jc w:val="both"/>
              <w:rPr>
                <w:rFonts w:ascii="標楷體" w:eastAsia="標楷體" w:hAnsi="標楷體"/>
              </w:rPr>
            </w:pPr>
          </w:p>
        </w:tc>
      </w:tr>
      <w:tr w:rsidR="004D6C5D" w:rsidRPr="00E74B80" w:rsidTr="001D1AE3">
        <w:trPr>
          <w:cantSplit/>
          <w:trHeight w:val="175"/>
        </w:trPr>
        <w:tc>
          <w:tcPr>
            <w:tcW w:w="748" w:type="dxa"/>
            <w:vMerge/>
            <w:vAlign w:val="center"/>
          </w:tcPr>
          <w:p w:rsidR="004D6C5D" w:rsidRPr="00E74B80" w:rsidRDefault="004D6C5D" w:rsidP="001D1AE3">
            <w:pPr>
              <w:spacing w:line="0" w:lineRule="atLeast"/>
              <w:jc w:val="both"/>
              <w:rPr>
                <w:rFonts w:ascii="標楷體" w:eastAsia="標楷體" w:hAnsi="標楷體"/>
                <w:szCs w:val="20"/>
              </w:rPr>
            </w:pPr>
          </w:p>
        </w:tc>
        <w:tc>
          <w:tcPr>
            <w:tcW w:w="840" w:type="dxa"/>
            <w:vMerge/>
            <w:vAlign w:val="center"/>
          </w:tcPr>
          <w:p w:rsidR="004D6C5D" w:rsidRPr="00E74B80" w:rsidRDefault="004D6C5D" w:rsidP="001D1AE3">
            <w:pPr>
              <w:spacing w:line="0" w:lineRule="atLeast"/>
              <w:jc w:val="both"/>
              <w:rPr>
                <w:rFonts w:ascii="標楷體" w:eastAsia="標楷體" w:hAnsi="標楷體"/>
                <w:szCs w:val="20"/>
              </w:rPr>
            </w:pPr>
          </w:p>
        </w:tc>
        <w:tc>
          <w:tcPr>
            <w:tcW w:w="5361" w:type="dxa"/>
            <w:vAlign w:val="center"/>
          </w:tcPr>
          <w:p w:rsidR="004D6C5D" w:rsidRPr="00E74B80" w:rsidRDefault="004D6C5D" w:rsidP="001D1AE3">
            <w:pPr>
              <w:spacing w:line="0" w:lineRule="atLeast"/>
              <w:jc w:val="both"/>
              <w:rPr>
                <w:rFonts w:ascii="標楷體" w:eastAsia="標楷體" w:hAnsi="標楷體"/>
                <w:szCs w:val="20"/>
              </w:rPr>
            </w:pPr>
            <w:r w:rsidRPr="00E74B80">
              <w:rPr>
                <w:rFonts w:ascii="標楷體" w:eastAsia="標楷體" w:hAnsi="標楷體" w:hint="eastAsia"/>
                <w:szCs w:val="20"/>
              </w:rPr>
              <w:t>範例３：該市場先漲後跌或先跌後漲時該基金模擬績效表現</w:t>
            </w:r>
          </w:p>
        </w:tc>
        <w:tc>
          <w:tcPr>
            <w:tcW w:w="2207" w:type="dxa"/>
            <w:vMerge/>
          </w:tcPr>
          <w:p w:rsidR="004D6C5D" w:rsidRPr="00E74B80" w:rsidRDefault="004D6C5D" w:rsidP="001D1AE3">
            <w:pPr>
              <w:spacing w:line="0" w:lineRule="atLeast"/>
              <w:jc w:val="both"/>
              <w:rPr>
                <w:rFonts w:ascii="標楷體" w:eastAsia="標楷體" w:hAnsi="標楷體"/>
              </w:rPr>
            </w:pPr>
          </w:p>
        </w:tc>
      </w:tr>
      <w:tr w:rsidR="004D6C5D" w:rsidRPr="00E74B80" w:rsidTr="001D1AE3">
        <w:trPr>
          <w:cantSplit/>
        </w:trPr>
        <w:tc>
          <w:tcPr>
            <w:tcW w:w="748" w:type="dxa"/>
            <w:vMerge/>
            <w:vAlign w:val="center"/>
          </w:tcPr>
          <w:p w:rsidR="004D6C5D" w:rsidRPr="00E74B80" w:rsidRDefault="004D6C5D" w:rsidP="001D1AE3">
            <w:pPr>
              <w:spacing w:line="0" w:lineRule="atLeast"/>
              <w:jc w:val="both"/>
              <w:rPr>
                <w:rFonts w:ascii="標楷體" w:eastAsia="標楷體" w:hAnsi="標楷體"/>
                <w:szCs w:val="20"/>
              </w:rPr>
            </w:pPr>
          </w:p>
        </w:tc>
        <w:tc>
          <w:tcPr>
            <w:tcW w:w="840" w:type="dxa"/>
            <w:vAlign w:val="center"/>
          </w:tcPr>
          <w:p w:rsidR="004D6C5D" w:rsidRPr="00E74B80" w:rsidRDefault="004D6C5D" w:rsidP="001D1AE3">
            <w:pPr>
              <w:spacing w:line="0" w:lineRule="atLeast"/>
              <w:jc w:val="both"/>
              <w:rPr>
                <w:rFonts w:ascii="標楷體" w:eastAsia="標楷體" w:hAnsi="標楷體"/>
                <w:szCs w:val="20"/>
              </w:rPr>
            </w:pPr>
            <w:r w:rsidRPr="00E74B80">
              <w:rPr>
                <w:rFonts w:ascii="標楷體" w:eastAsia="標楷體" w:hAnsi="標楷體" w:hint="eastAsia"/>
                <w:szCs w:val="20"/>
              </w:rPr>
              <w:t>敏感度分析</w:t>
            </w:r>
          </w:p>
        </w:tc>
        <w:tc>
          <w:tcPr>
            <w:tcW w:w="5361" w:type="dxa"/>
            <w:vAlign w:val="center"/>
          </w:tcPr>
          <w:p w:rsidR="004D6C5D" w:rsidRPr="00E74B80" w:rsidRDefault="004D6C5D" w:rsidP="001D1AE3">
            <w:pPr>
              <w:spacing w:line="0" w:lineRule="atLeast"/>
              <w:jc w:val="both"/>
              <w:rPr>
                <w:rFonts w:ascii="標楷體" w:eastAsia="標楷體" w:hAnsi="標楷體"/>
                <w:szCs w:val="20"/>
              </w:rPr>
            </w:pPr>
            <w:r w:rsidRPr="00E74B80">
              <w:rPr>
                <w:rFonts w:ascii="標楷體" w:eastAsia="標楷體" w:hAnsi="標楷體" w:hint="eastAsia"/>
                <w:szCs w:val="20"/>
              </w:rPr>
              <w:t>該市場上漲Ｘ％或下跌Ｘ％該基金模擬績效漲或跌Ｘ％（Ｄｅｌｔａ分析）</w:t>
            </w:r>
          </w:p>
        </w:tc>
        <w:tc>
          <w:tcPr>
            <w:tcW w:w="2207" w:type="dxa"/>
            <w:vMerge/>
          </w:tcPr>
          <w:p w:rsidR="004D6C5D" w:rsidRPr="00E74B80" w:rsidRDefault="004D6C5D" w:rsidP="001D1AE3">
            <w:pPr>
              <w:spacing w:line="0" w:lineRule="atLeast"/>
              <w:jc w:val="both"/>
              <w:rPr>
                <w:rFonts w:ascii="標楷體" w:eastAsia="標楷體" w:hAnsi="標楷體"/>
              </w:rPr>
            </w:pPr>
          </w:p>
        </w:tc>
      </w:tr>
      <w:tr w:rsidR="004D6C5D" w:rsidRPr="00E74B80" w:rsidTr="001D1AE3">
        <w:trPr>
          <w:cantSplit/>
        </w:trPr>
        <w:tc>
          <w:tcPr>
            <w:tcW w:w="748" w:type="dxa"/>
            <w:vMerge/>
            <w:vAlign w:val="center"/>
          </w:tcPr>
          <w:p w:rsidR="004D6C5D" w:rsidRPr="00E74B80" w:rsidRDefault="004D6C5D" w:rsidP="001D1AE3">
            <w:pPr>
              <w:spacing w:line="0" w:lineRule="atLeast"/>
              <w:jc w:val="both"/>
              <w:rPr>
                <w:rFonts w:ascii="標楷體" w:eastAsia="標楷體" w:hAnsi="標楷體"/>
                <w:szCs w:val="20"/>
              </w:rPr>
            </w:pPr>
          </w:p>
        </w:tc>
        <w:tc>
          <w:tcPr>
            <w:tcW w:w="840" w:type="dxa"/>
            <w:vAlign w:val="center"/>
          </w:tcPr>
          <w:p w:rsidR="004D6C5D" w:rsidRPr="00E74B80" w:rsidRDefault="004D6C5D" w:rsidP="001D1AE3">
            <w:pPr>
              <w:spacing w:line="0" w:lineRule="atLeast"/>
              <w:jc w:val="both"/>
              <w:rPr>
                <w:rFonts w:ascii="標楷體" w:eastAsia="標楷體" w:hAnsi="標楷體"/>
                <w:szCs w:val="20"/>
              </w:rPr>
            </w:pPr>
            <w:r w:rsidRPr="00E74B80">
              <w:rPr>
                <w:rFonts w:ascii="標楷體" w:eastAsia="標楷體" w:hAnsi="標楷體" w:hint="eastAsia"/>
                <w:szCs w:val="20"/>
              </w:rPr>
              <w:t>蒙地卡羅模 擬</w:t>
            </w:r>
          </w:p>
        </w:tc>
        <w:tc>
          <w:tcPr>
            <w:tcW w:w="5361" w:type="dxa"/>
            <w:vAlign w:val="center"/>
          </w:tcPr>
          <w:p w:rsidR="004D6C5D" w:rsidRPr="00E74B80" w:rsidRDefault="004D6C5D" w:rsidP="001D1AE3">
            <w:pPr>
              <w:spacing w:line="0" w:lineRule="atLeast"/>
              <w:jc w:val="both"/>
              <w:rPr>
                <w:rFonts w:ascii="標楷體" w:eastAsia="標楷體" w:hAnsi="標楷體"/>
                <w:szCs w:val="20"/>
              </w:rPr>
            </w:pPr>
            <w:r w:rsidRPr="00E74B80">
              <w:rPr>
                <w:rFonts w:ascii="標楷體" w:eastAsia="標楷體" w:hAnsi="標楷體" w:hint="eastAsia"/>
                <w:szCs w:val="20"/>
              </w:rPr>
              <w:t>利用上萬筆路徑模擬測試，跑出報酬率分布並計算平均報酬率與標準差等</w:t>
            </w:r>
          </w:p>
        </w:tc>
        <w:tc>
          <w:tcPr>
            <w:tcW w:w="2207" w:type="dxa"/>
            <w:vMerge/>
          </w:tcPr>
          <w:p w:rsidR="004D6C5D" w:rsidRPr="00E74B80" w:rsidRDefault="004D6C5D" w:rsidP="001D1AE3">
            <w:pPr>
              <w:spacing w:line="0" w:lineRule="atLeast"/>
              <w:jc w:val="both"/>
              <w:rPr>
                <w:rFonts w:ascii="標楷體" w:eastAsia="標楷體" w:hAnsi="標楷體"/>
              </w:rPr>
            </w:pPr>
          </w:p>
        </w:tc>
      </w:tr>
    </w:tbl>
    <w:p w:rsidR="004D6C5D" w:rsidRPr="00E74B80" w:rsidRDefault="004D6C5D" w:rsidP="004D6C5D">
      <w:pPr>
        <w:jc w:val="both"/>
        <w:rPr>
          <w:rFonts w:ascii="標楷體" w:eastAsia="標楷體" w:hAnsi="標楷體"/>
          <w:b/>
          <w:bCs/>
        </w:rPr>
      </w:pPr>
    </w:p>
    <w:p w:rsidR="004D6C5D" w:rsidRPr="00E74B80" w:rsidRDefault="004D6C5D" w:rsidP="004D6C5D">
      <w:pPr>
        <w:pStyle w:val="HTML"/>
        <w:ind w:left="900" w:hangingChars="346" w:hanging="900"/>
        <w:jc w:val="both"/>
        <w:rPr>
          <w:rFonts w:ascii="標楷體" w:eastAsia="標楷體" w:hAnsi="標楷體"/>
          <w:sz w:val="26"/>
        </w:rPr>
      </w:pPr>
    </w:p>
    <w:p w:rsidR="004D6C5D" w:rsidRPr="00E74B80" w:rsidRDefault="004D6C5D" w:rsidP="004D6C5D">
      <w:pPr>
        <w:kinsoku w:val="0"/>
        <w:snapToGrid w:val="0"/>
        <w:ind w:left="845" w:hangingChars="325" w:hanging="845"/>
        <w:jc w:val="both"/>
        <w:rPr>
          <w:rFonts w:ascii="標楷體" w:eastAsia="標楷體" w:hAnsi="標楷體"/>
          <w:b/>
          <w:bCs/>
        </w:rPr>
      </w:pPr>
      <w:r w:rsidRPr="00E74B80">
        <w:rPr>
          <w:rFonts w:ascii="標楷體" w:eastAsia="標楷體" w:hAnsi="標楷體"/>
          <w:sz w:val="26"/>
        </w:rPr>
        <w:br w:type="page"/>
      </w:r>
      <w:bookmarkStart w:id="3" w:name="附件二"/>
      <w:r w:rsidRPr="00E74B80">
        <w:rPr>
          <w:rFonts w:ascii="標楷體" w:eastAsia="標楷體" w:hAnsi="標楷體" w:hint="eastAsia"/>
          <w:b/>
          <w:bCs/>
        </w:rPr>
        <w:t>附件二</w:t>
      </w:r>
    </w:p>
    <w:bookmarkEnd w:id="3"/>
    <w:p w:rsidR="004D6C5D" w:rsidRPr="00E74B80" w:rsidRDefault="004D6C5D" w:rsidP="004D6C5D">
      <w:pPr>
        <w:jc w:val="both"/>
        <w:rPr>
          <w:rFonts w:ascii="標楷體" w:eastAsia="標楷體" w:hAnsi="標楷體"/>
        </w:rPr>
      </w:pPr>
    </w:p>
    <w:p w:rsidR="004D6C5D" w:rsidRPr="00E74B80" w:rsidRDefault="004D6C5D" w:rsidP="004D6C5D">
      <w:pPr>
        <w:jc w:val="both"/>
        <w:rPr>
          <w:rFonts w:ascii="標楷體" w:eastAsia="標楷體" w:hAnsi="標楷體"/>
        </w:rPr>
      </w:pPr>
      <w:r w:rsidRPr="00E74B80">
        <w:rPr>
          <w:rFonts w:ascii="標楷體" w:eastAsia="標楷體" w:hAnsi="標楷體" w:hint="eastAsia"/>
        </w:rPr>
        <w:t>以基金績效外之其他業績數字為廣告時，期貨信託基金可引用相關統計或分析資料之國內、外機構如下：</w:t>
      </w:r>
    </w:p>
    <w:p w:rsidR="004D6C5D" w:rsidRPr="00E74B80" w:rsidRDefault="004D6C5D" w:rsidP="004D6C5D">
      <w:pPr>
        <w:ind w:left="151" w:hangingChars="63" w:hanging="151"/>
        <w:jc w:val="both"/>
        <w:rPr>
          <w:rFonts w:ascii="標楷體" w:eastAsia="標楷體" w:hAnsi="標楷體"/>
        </w:rPr>
      </w:pPr>
      <w:r w:rsidRPr="00E74B80">
        <w:rPr>
          <w:rFonts w:ascii="標楷體" w:eastAsia="標楷體" w:hAnsi="標楷體" w:hint="eastAsia"/>
        </w:rPr>
        <w:t>1. 具公信力</w:t>
      </w:r>
      <w:r w:rsidRPr="00E74B80">
        <w:rPr>
          <w:rFonts w:ascii="標楷體" w:eastAsia="標楷體" w:hAnsi="標楷體" w:hint="eastAsia"/>
          <w:szCs w:val="28"/>
        </w:rPr>
        <w:t>並經本公會</w:t>
      </w:r>
      <w:r w:rsidRPr="00E74B80">
        <w:rPr>
          <w:rFonts w:ascii="標楷體" w:eastAsia="標楷體" w:hAnsi="標楷體" w:hint="eastAsia"/>
        </w:rPr>
        <w:t>認可之專家學者所為作之評比資料。</w:t>
      </w:r>
    </w:p>
    <w:p w:rsidR="004D6C5D" w:rsidRPr="00E74B80" w:rsidRDefault="004D6C5D" w:rsidP="004D6C5D">
      <w:pPr>
        <w:ind w:left="151" w:hangingChars="63" w:hanging="151"/>
        <w:jc w:val="both"/>
        <w:rPr>
          <w:rFonts w:ascii="標楷體" w:eastAsia="標楷體" w:hAnsi="標楷體"/>
        </w:rPr>
      </w:pPr>
      <w:r w:rsidRPr="00E74B80">
        <w:rPr>
          <w:rFonts w:ascii="標楷體" w:eastAsia="標楷體" w:hAnsi="標楷體" w:hint="eastAsia"/>
        </w:rPr>
        <w:t>2. 依信用評等事業管理規則設立之信用評等事業。</w:t>
      </w:r>
    </w:p>
    <w:p w:rsidR="004D6C5D" w:rsidRPr="00E74B80" w:rsidRDefault="004D6C5D" w:rsidP="004D6C5D">
      <w:pPr>
        <w:snapToGrid w:val="0"/>
        <w:spacing w:line="320" w:lineRule="exact"/>
        <w:textAlignment w:val="center"/>
        <w:rPr>
          <w:rFonts w:ascii="標楷體" w:eastAsia="標楷體" w:hAnsi="標楷體"/>
        </w:rPr>
      </w:pPr>
      <w:r w:rsidRPr="00E74B80">
        <w:rPr>
          <w:rFonts w:ascii="標楷體" w:eastAsia="標楷體" w:hAnsi="標楷體" w:hint="eastAsia"/>
        </w:rPr>
        <w:t xml:space="preserve">3. </w:t>
      </w:r>
      <w:r w:rsidRPr="00E74B80">
        <w:rPr>
          <w:rFonts w:ascii="Arial" w:eastAsia="標楷體" w:hAnsi="Arial" w:cs="Arial" w:hint="eastAsia"/>
          <w:snapToGrid w:val="0"/>
          <w:szCs w:val="28"/>
        </w:rPr>
        <w:t>美國標準普爾基金評鑑公</w:t>
      </w:r>
      <w:r w:rsidRPr="00E74B80">
        <w:rPr>
          <w:rFonts w:ascii="標楷體" w:eastAsia="標楷體" w:hAnsi="標楷體" w:cs="Arial" w:hint="eastAsia"/>
          <w:snapToGrid w:val="0"/>
          <w:szCs w:val="28"/>
        </w:rPr>
        <w:t>司(Standard&amp; Poor`s Fund Services)。</w:t>
      </w:r>
    </w:p>
    <w:p w:rsidR="004D6C5D" w:rsidRPr="00E74B80" w:rsidRDefault="004D6C5D" w:rsidP="004D6C5D">
      <w:pPr>
        <w:ind w:left="151" w:hangingChars="63" w:hanging="151"/>
        <w:jc w:val="both"/>
        <w:rPr>
          <w:rFonts w:ascii="標楷體" w:eastAsia="標楷體" w:hAnsi="標楷體"/>
        </w:rPr>
      </w:pPr>
      <w:r w:rsidRPr="00E74B80">
        <w:rPr>
          <w:rFonts w:ascii="標楷體" w:eastAsia="標楷體" w:hAnsi="標楷體" w:hint="eastAsia"/>
        </w:rPr>
        <w:t>4. 美國里伯（Lipper）基金評鑑機構。</w:t>
      </w:r>
    </w:p>
    <w:p w:rsidR="004D6C5D" w:rsidRPr="00E74B80" w:rsidRDefault="004D6C5D" w:rsidP="004D6C5D">
      <w:pPr>
        <w:ind w:left="151" w:hangingChars="63" w:hanging="151"/>
        <w:jc w:val="both"/>
        <w:rPr>
          <w:rFonts w:ascii="標楷體" w:eastAsia="標楷體" w:hAnsi="標楷體"/>
        </w:rPr>
      </w:pPr>
      <w:r w:rsidRPr="00E74B80">
        <w:rPr>
          <w:rFonts w:ascii="標楷體" w:eastAsia="標楷體" w:hAnsi="標楷體" w:hint="eastAsia"/>
        </w:rPr>
        <w:t>5. 英國路透社（Reuters）。</w:t>
      </w:r>
    </w:p>
    <w:p w:rsidR="004D6C5D" w:rsidRPr="00E74B80" w:rsidRDefault="004D6C5D" w:rsidP="004D6C5D">
      <w:pPr>
        <w:ind w:left="151" w:hangingChars="63" w:hanging="151"/>
        <w:jc w:val="both"/>
        <w:rPr>
          <w:rFonts w:ascii="標楷體" w:eastAsia="標楷體" w:hAnsi="標楷體"/>
        </w:rPr>
      </w:pPr>
      <w:r w:rsidRPr="00E74B80">
        <w:rPr>
          <w:rFonts w:ascii="標楷體" w:eastAsia="標楷體" w:hAnsi="標楷體" w:hint="eastAsia"/>
        </w:rPr>
        <w:t>6. 美國晨星（Morning Star）基金評鑑機構。</w:t>
      </w:r>
    </w:p>
    <w:p w:rsidR="004D6C5D" w:rsidRPr="00E74B80" w:rsidRDefault="004D6C5D" w:rsidP="004D6C5D">
      <w:pPr>
        <w:ind w:left="151" w:hangingChars="63" w:hanging="151"/>
        <w:jc w:val="both"/>
        <w:rPr>
          <w:rFonts w:ascii="標楷體" w:eastAsia="標楷體" w:hAnsi="標楷體"/>
        </w:rPr>
      </w:pPr>
      <w:r w:rsidRPr="00E74B80">
        <w:rPr>
          <w:rFonts w:ascii="標楷體" w:eastAsia="標楷體" w:hAnsi="標楷體" w:hint="eastAsia"/>
        </w:rPr>
        <w:t>7. 英國普萊馬克（Primark）基金評鑑機構。</w:t>
      </w:r>
    </w:p>
    <w:p w:rsidR="004D6C5D" w:rsidRPr="00E74B80" w:rsidRDefault="004D6C5D" w:rsidP="004D6C5D">
      <w:pPr>
        <w:ind w:left="151" w:hangingChars="63" w:hanging="151"/>
        <w:jc w:val="both"/>
        <w:rPr>
          <w:rFonts w:ascii="標楷體" w:eastAsia="標楷體" w:hAnsi="標楷體"/>
        </w:rPr>
      </w:pPr>
      <w:r w:rsidRPr="00E74B80">
        <w:rPr>
          <w:rFonts w:ascii="標楷體" w:eastAsia="標楷體" w:hAnsi="標楷體" w:hint="eastAsia"/>
        </w:rPr>
        <w:t>8. 台北金融研究發展基金會評選之金鑽獎。</w:t>
      </w:r>
    </w:p>
    <w:p w:rsidR="004D6C5D" w:rsidRPr="00E74B80" w:rsidRDefault="004D6C5D" w:rsidP="004D6C5D">
      <w:pPr>
        <w:ind w:left="151" w:hangingChars="63" w:hanging="151"/>
        <w:jc w:val="both"/>
        <w:rPr>
          <w:rFonts w:ascii="標楷體" w:eastAsia="標楷體" w:hAnsi="標楷體"/>
        </w:rPr>
      </w:pPr>
      <w:r w:rsidRPr="00E74B80">
        <w:rPr>
          <w:rFonts w:ascii="標楷體" w:eastAsia="標楷體" w:hAnsi="標楷體" w:hint="eastAsia"/>
        </w:rPr>
        <w:t>9. 財團法人中華民國證券暨期貨市場發展基金會評選之金彝獎。</w:t>
      </w:r>
    </w:p>
    <w:p w:rsidR="004D6C5D" w:rsidRPr="00E74B80" w:rsidRDefault="004D6C5D" w:rsidP="004D6C5D">
      <w:pPr>
        <w:ind w:left="151" w:hangingChars="63" w:hanging="151"/>
        <w:jc w:val="both"/>
        <w:rPr>
          <w:rFonts w:ascii="標楷體" w:eastAsia="標楷體" w:hAnsi="標楷體"/>
        </w:rPr>
      </w:pPr>
      <w:r w:rsidRPr="00E74B80">
        <w:rPr>
          <w:rFonts w:ascii="標楷體" w:eastAsia="標楷體" w:hAnsi="標楷體" w:hint="eastAsia"/>
        </w:rPr>
        <w:t>10. 香港指標雜誌（Benchmark）所頒布之績效評比及傑出基金獎。</w:t>
      </w:r>
    </w:p>
    <w:p w:rsidR="004D6C5D" w:rsidRPr="00E74B80" w:rsidRDefault="004D6C5D" w:rsidP="004D6C5D">
      <w:pPr>
        <w:ind w:left="360" w:hangingChars="150" w:hanging="360"/>
        <w:jc w:val="both"/>
        <w:rPr>
          <w:rFonts w:ascii="標楷體" w:eastAsia="標楷體" w:hAnsi="標楷體"/>
        </w:rPr>
      </w:pPr>
      <w:r w:rsidRPr="00E74B80">
        <w:rPr>
          <w:rFonts w:ascii="標楷體" w:eastAsia="標楷體" w:hAnsi="標楷體" w:hint="eastAsia"/>
        </w:rPr>
        <w:t>11. 工商時報與美國標準普爾基金評鑑公司（Standard&amp;Poor`s Fund Services）所主辦發布之「台灣基金獎」。</w:t>
      </w:r>
    </w:p>
    <w:p w:rsidR="004D6C5D" w:rsidRPr="00E74B80" w:rsidRDefault="004D6C5D" w:rsidP="004D6C5D">
      <w:pPr>
        <w:ind w:left="360" w:hangingChars="150" w:hanging="360"/>
        <w:jc w:val="both"/>
        <w:rPr>
          <w:rFonts w:ascii="標楷體" w:eastAsia="標楷體" w:hAnsi="標楷體"/>
        </w:rPr>
      </w:pPr>
      <w:r w:rsidRPr="00E74B80">
        <w:rPr>
          <w:rFonts w:ascii="標楷體" w:eastAsia="標楷體" w:hAnsi="標楷體" w:hint="eastAsia"/>
        </w:rPr>
        <w:t>12. 英商渣打銀行及美國里伯（Lipper）基金評鑑機構所主辦發布之「渣打全球基金獎」。</w:t>
      </w:r>
    </w:p>
    <w:p w:rsidR="004D6C5D" w:rsidRPr="00E74B80" w:rsidRDefault="004D6C5D" w:rsidP="004D6C5D">
      <w:pPr>
        <w:ind w:left="360" w:hangingChars="150" w:hanging="360"/>
        <w:jc w:val="both"/>
        <w:rPr>
          <w:rFonts w:ascii="標楷體" w:eastAsia="標楷體" w:hAnsi="標楷體"/>
        </w:rPr>
      </w:pPr>
      <w:r w:rsidRPr="00E74B80">
        <w:rPr>
          <w:rFonts w:ascii="標楷體" w:eastAsia="標楷體" w:hAnsi="標楷體" w:hint="eastAsia"/>
        </w:rPr>
        <w:t>13. 所引用之資料來源係本公會認可之機構所公布之資料者（例如中華民國證券櫃檯買賣中心頒布之獎項）。</w:t>
      </w:r>
    </w:p>
    <w:p w:rsidR="004D6C5D" w:rsidRPr="00E74B80" w:rsidRDefault="004D6C5D" w:rsidP="004D6C5D">
      <w:pPr>
        <w:ind w:left="1200" w:hangingChars="500" w:hanging="1200"/>
        <w:rPr>
          <w:rFonts w:eastAsia="標楷體"/>
        </w:rPr>
      </w:pPr>
      <w:r w:rsidRPr="00E74B80">
        <w:rPr>
          <w:rFonts w:ascii="標楷體" w:eastAsia="標楷體" w:hAnsi="標楷體" w:hint="eastAsia"/>
        </w:rPr>
        <w:t>14. 其他具公信力，並經本公會認可之國內、外機構所為之統計或分析資料。</w:t>
      </w:r>
    </w:p>
    <w:p w:rsidR="004D6C5D" w:rsidRPr="00ED263C" w:rsidRDefault="004D6C5D" w:rsidP="004D6C5D"/>
    <w:p w:rsidR="004D6C5D" w:rsidRPr="00CA47B4" w:rsidRDefault="004D6C5D" w:rsidP="004D6C5D">
      <w:pPr>
        <w:pStyle w:val="HTML"/>
        <w:spacing w:line="460" w:lineRule="exact"/>
        <w:jc w:val="both"/>
        <w:rPr>
          <w:rFonts w:ascii="標楷體" w:eastAsia="標楷體" w:hAnsi="標楷體"/>
          <w:sz w:val="28"/>
          <w:szCs w:val="28"/>
        </w:rPr>
      </w:pPr>
    </w:p>
    <w:p w:rsidR="00672335" w:rsidRPr="004D6C5D" w:rsidRDefault="00672335"/>
    <w:sectPr w:rsidR="00672335" w:rsidRPr="004D6C5D" w:rsidSect="009B6DE8">
      <w:footerReference w:type="default" r:id="rId6"/>
      <w:pgSz w:w="11906" w:h="16838" w:code="9"/>
      <w:pgMar w:top="1134" w:right="1134" w:bottom="96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C7D" w:rsidRDefault="00F63C7D" w:rsidP="004D6C5D">
      <w:r>
        <w:separator/>
      </w:r>
    </w:p>
  </w:endnote>
  <w:endnote w:type="continuationSeparator" w:id="0">
    <w:p w:rsidR="00F63C7D" w:rsidRDefault="00F63C7D" w:rsidP="004D6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eastAsiaTheme="minorEastAsia" w:hAnsiTheme="minorHAnsi" w:cstheme="minorBidi"/>
        <w:sz w:val="20"/>
        <w:szCs w:val="20"/>
      </w:rPr>
      <w:id w:val="-47147237"/>
      <w:docPartObj>
        <w:docPartGallery w:val="Page Numbers (Bottom of Page)"/>
        <w:docPartUnique/>
      </w:docPartObj>
    </w:sdtPr>
    <w:sdtEndPr/>
    <w:sdtContent>
      <w:p w:rsidR="00CA47B4" w:rsidRPr="007F4523" w:rsidRDefault="00CC294C" w:rsidP="00CA47B4">
        <w:pPr>
          <w:tabs>
            <w:tab w:val="center" w:pos="4153"/>
            <w:tab w:val="right" w:pos="8306"/>
          </w:tabs>
          <w:snapToGrid w:val="0"/>
          <w:jc w:val="center"/>
          <w:rPr>
            <w:rFonts w:asciiTheme="minorHAnsi" w:eastAsiaTheme="minorEastAsia" w:hAnsiTheme="minorHAnsi" w:cstheme="minorBidi"/>
            <w:sz w:val="20"/>
            <w:szCs w:val="20"/>
          </w:rPr>
        </w:pPr>
        <w:r w:rsidRPr="007F4523">
          <w:rPr>
            <w:rFonts w:ascii="標楷體" w:eastAsia="標楷體" w:hAnsi="標楷體" w:cstheme="minorBidi" w:hint="eastAsia"/>
            <w:sz w:val="20"/>
            <w:szCs w:val="20"/>
          </w:rPr>
          <w:t>第</w:t>
        </w:r>
        <w:r w:rsidRPr="007F4523">
          <w:rPr>
            <w:rFonts w:ascii="標楷體" w:eastAsia="標楷體" w:hAnsi="標楷體" w:cstheme="minorBidi"/>
            <w:sz w:val="20"/>
            <w:szCs w:val="20"/>
          </w:rPr>
          <w:t xml:space="preserve"> </w:t>
        </w:r>
        <w:r w:rsidRPr="007F4523">
          <w:rPr>
            <w:rFonts w:ascii="標楷體" w:eastAsia="標楷體" w:hAnsi="標楷體" w:cstheme="minorBidi"/>
            <w:sz w:val="20"/>
            <w:szCs w:val="20"/>
          </w:rPr>
          <w:fldChar w:fldCharType="begin"/>
        </w:r>
        <w:r w:rsidRPr="007F4523">
          <w:rPr>
            <w:rFonts w:ascii="標楷體" w:eastAsia="標楷體" w:hAnsi="標楷體" w:cstheme="minorBidi"/>
            <w:sz w:val="20"/>
            <w:szCs w:val="20"/>
          </w:rPr>
          <w:instrText xml:space="preserve"> PAGE </w:instrText>
        </w:r>
        <w:r w:rsidRPr="007F4523">
          <w:rPr>
            <w:rFonts w:ascii="標楷體" w:eastAsia="標楷體" w:hAnsi="標楷體" w:cstheme="minorBidi"/>
            <w:sz w:val="20"/>
            <w:szCs w:val="20"/>
          </w:rPr>
          <w:fldChar w:fldCharType="separate"/>
        </w:r>
        <w:r w:rsidR="00F63C7D">
          <w:rPr>
            <w:rFonts w:ascii="標楷體" w:eastAsia="標楷體" w:hAnsi="標楷體" w:cstheme="minorBidi"/>
            <w:noProof/>
            <w:sz w:val="20"/>
            <w:szCs w:val="20"/>
          </w:rPr>
          <w:t>1</w:t>
        </w:r>
        <w:r w:rsidRPr="007F4523">
          <w:rPr>
            <w:rFonts w:ascii="標楷體" w:eastAsia="標楷體" w:hAnsi="標楷體" w:cstheme="minorBidi"/>
            <w:sz w:val="20"/>
            <w:szCs w:val="20"/>
          </w:rPr>
          <w:fldChar w:fldCharType="end"/>
        </w:r>
        <w:r w:rsidRPr="007F4523">
          <w:rPr>
            <w:rFonts w:ascii="標楷體" w:eastAsia="標楷體" w:hAnsi="標楷體" w:cstheme="minorBidi"/>
            <w:sz w:val="20"/>
            <w:szCs w:val="20"/>
          </w:rPr>
          <w:t xml:space="preserve"> </w:t>
        </w:r>
        <w:r w:rsidRPr="007F4523">
          <w:rPr>
            <w:rFonts w:ascii="標楷體" w:eastAsia="標楷體" w:hAnsi="標楷體" w:cstheme="minorBidi" w:hint="eastAsia"/>
            <w:sz w:val="20"/>
            <w:szCs w:val="20"/>
          </w:rPr>
          <w:t>頁，共</w:t>
        </w:r>
        <w:r w:rsidRPr="007F4523">
          <w:rPr>
            <w:rFonts w:ascii="標楷體" w:eastAsia="標楷體" w:hAnsi="標楷體" w:cstheme="minorBidi"/>
            <w:sz w:val="20"/>
            <w:szCs w:val="20"/>
          </w:rPr>
          <w:t xml:space="preserve"> </w:t>
        </w:r>
        <w:r w:rsidRPr="007F4523">
          <w:rPr>
            <w:rFonts w:ascii="標楷體" w:eastAsia="標楷體" w:hAnsi="標楷體" w:cstheme="minorBidi"/>
            <w:sz w:val="20"/>
            <w:szCs w:val="20"/>
          </w:rPr>
          <w:fldChar w:fldCharType="begin"/>
        </w:r>
        <w:r w:rsidRPr="007F4523">
          <w:rPr>
            <w:rFonts w:ascii="標楷體" w:eastAsia="標楷體" w:hAnsi="標楷體" w:cstheme="minorBidi"/>
            <w:sz w:val="20"/>
            <w:szCs w:val="20"/>
          </w:rPr>
          <w:instrText xml:space="preserve"> NUMPAGES </w:instrText>
        </w:r>
        <w:r w:rsidRPr="007F4523">
          <w:rPr>
            <w:rFonts w:ascii="標楷體" w:eastAsia="標楷體" w:hAnsi="標楷體" w:cstheme="minorBidi"/>
            <w:sz w:val="20"/>
            <w:szCs w:val="20"/>
          </w:rPr>
          <w:fldChar w:fldCharType="separate"/>
        </w:r>
        <w:r w:rsidR="00F63C7D">
          <w:rPr>
            <w:rFonts w:ascii="標楷體" w:eastAsia="標楷體" w:hAnsi="標楷體" w:cstheme="minorBidi"/>
            <w:noProof/>
            <w:sz w:val="20"/>
            <w:szCs w:val="20"/>
          </w:rPr>
          <w:t>1</w:t>
        </w:r>
        <w:r w:rsidRPr="007F4523">
          <w:rPr>
            <w:rFonts w:ascii="標楷體" w:eastAsia="標楷體" w:hAnsi="標楷體" w:cstheme="minorBidi"/>
            <w:sz w:val="20"/>
            <w:szCs w:val="20"/>
          </w:rPr>
          <w:fldChar w:fldCharType="end"/>
        </w:r>
        <w:r w:rsidRPr="007F4523">
          <w:rPr>
            <w:rFonts w:ascii="標楷體" w:eastAsia="標楷體" w:hAnsi="標楷體" w:cstheme="minorBidi"/>
            <w:sz w:val="20"/>
            <w:szCs w:val="20"/>
          </w:rPr>
          <w:t xml:space="preserve"> </w:t>
        </w:r>
        <w:r w:rsidRPr="007F4523">
          <w:rPr>
            <w:rFonts w:ascii="標楷體" w:eastAsia="標楷體" w:hAnsi="標楷體" w:cstheme="minorBidi" w:hint="eastAsia"/>
            <w:sz w:val="20"/>
            <w:szCs w:val="20"/>
          </w:rPr>
          <w:t>頁</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C7D" w:rsidRDefault="00F63C7D" w:rsidP="004D6C5D">
      <w:r>
        <w:separator/>
      </w:r>
    </w:p>
  </w:footnote>
  <w:footnote w:type="continuationSeparator" w:id="0">
    <w:p w:rsidR="00F63C7D" w:rsidRDefault="00F63C7D" w:rsidP="004D6C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D0D"/>
    <w:rsid w:val="000E5562"/>
    <w:rsid w:val="001154CB"/>
    <w:rsid w:val="00341CEB"/>
    <w:rsid w:val="004D6C5D"/>
    <w:rsid w:val="005F3AAB"/>
    <w:rsid w:val="00672335"/>
    <w:rsid w:val="007A1B5A"/>
    <w:rsid w:val="00886EDB"/>
    <w:rsid w:val="008E12B4"/>
    <w:rsid w:val="00977F78"/>
    <w:rsid w:val="009B6DE8"/>
    <w:rsid w:val="00A50CCD"/>
    <w:rsid w:val="00A74D0D"/>
    <w:rsid w:val="00AB1E36"/>
    <w:rsid w:val="00B351DE"/>
    <w:rsid w:val="00B40516"/>
    <w:rsid w:val="00C06916"/>
    <w:rsid w:val="00C86D0E"/>
    <w:rsid w:val="00CC294C"/>
    <w:rsid w:val="00EC59A1"/>
    <w:rsid w:val="00F63C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0FEA546-9664-4E18-9B60-87BCF62FC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7F78"/>
    <w:rPr>
      <w:rFonts w:ascii="Calibri" w:eastAsia="新細明體" w:hAnsi="Calibri" w:cs="Calibri"/>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6C5D"/>
    <w:pPr>
      <w:tabs>
        <w:tab w:val="center" w:pos="4153"/>
        <w:tab w:val="right" w:pos="8306"/>
      </w:tabs>
      <w:snapToGrid w:val="0"/>
    </w:pPr>
    <w:rPr>
      <w:sz w:val="20"/>
      <w:szCs w:val="20"/>
    </w:rPr>
  </w:style>
  <w:style w:type="character" w:customStyle="1" w:styleId="a4">
    <w:name w:val="頁首 字元"/>
    <w:basedOn w:val="a0"/>
    <w:link w:val="a3"/>
    <w:uiPriority w:val="99"/>
    <w:rsid w:val="004D6C5D"/>
    <w:rPr>
      <w:sz w:val="20"/>
      <w:szCs w:val="20"/>
    </w:rPr>
  </w:style>
  <w:style w:type="paragraph" w:styleId="a5">
    <w:name w:val="footer"/>
    <w:basedOn w:val="a"/>
    <w:link w:val="a6"/>
    <w:uiPriority w:val="99"/>
    <w:unhideWhenUsed/>
    <w:rsid w:val="004D6C5D"/>
    <w:pPr>
      <w:tabs>
        <w:tab w:val="center" w:pos="4153"/>
        <w:tab w:val="right" w:pos="8306"/>
      </w:tabs>
      <w:snapToGrid w:val="0"/>
    </w:pPr>
    <w:rPr>
      <w:sz w:val="20"/>
      <w:szCs w:val="20"/>
    </w:rPr>
  </w:style>
  <w:style w:type="character" w:customStyle="1" w:styleId="a6">
    <w:name w:val="頁尾 字元"/>
    <w:basedOn w:val="a0"/>
    <w:link w:val="a5"/>
    <w:uiPriority w:val="99"/>
    <w:rsid w:val="004D6C5D"/>
    <w:rPr>
      <w:sz w:val="20"/>
      <w:szCs w:val="20"/>
    </w:rPr>
  </w:style>
  <w:style w:type="paragraph" w:styleId="HTML">
    <w:name w:val="HTML Preformatted"/>
    <w:basedOn w:val="a"/>
    <w:link w:val="HTML0"/>
    <w:rsid w:val="004D6C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character" w:customStyle="1" w:styleId="HTML0">
    <w:name w:val="HTML 預設格式 字元"/>
    <w:basedOn w:val="a0"/>
    <w:link w:val="HTML"/>
    <w:rsid w:val="004D6C5D"/>
    <w:rPr>
      <w:rFonts w:ascii="細明體" w:eastAsia="細明體" w:hAnsi="細明體" w:cs="Courier New"/>
      <w:kern w:val="0"/>
      <w:sz w:val="20"/>
      <w:szCs w:val="20"/>
    </w:rPr>
  </w:style>
  <w:style w:type="paragraph" w:styleId="a7">
    <w:name w:val="Body Text"/>
    <w:basedOn w:val="a"/>
    <w:link w:val="a8"/>
    <w:rsid w:val="004D6C5D"/>
    <w:pPr>
      <w:widowControl w:val="0"/>
    </w:pPr>
    <w:rPr>
      <w:rFonts w:ascii="Times New Roman" w:hAnsi="Times New Roman" w:cs="Times New Roman"/>
      <w:b/>
      <w:bCs/>
      <w:kern w:val="2"/>
    </w:rPr>
  </w:style>
  <w:style w:type="character" w:customStyle="1" w:styleId="a8">
    <w:name w:val="本文 字元"/>
    <w:basedOn w:val="a0"/>
    <w:link w:val="a7"/>
    <w:rsid w:val="004D6C5D"/>
    <w:rPr>
      <w:rFonts w:ascii="Times New Roman" w:eastAsia="新細明體" w:hAnsi="Times New Roman" w:cs="Times New Roman"/>
      <w:b/>
      <w:bCs/>
      <w:szCs w:val="24"/>
    </w:rPr>
  </w:style>
  <w:style w:type="paragraph" w:customStyle="1" w:styleId="a9">
    <w:name w:val="條文項"/>
    <w:basedOn w:val="a"/>
    <w:rsid w:val="004D6C5D"/>
    <w:pPr>
      <w:widowControl w:val="0"/>
      <w:spacing w:before="120" w:line="0" w:lineRule="atLeast"/>
      <w:jc w:val="both"/>
    </w:pPr>
    <w:rPr>
      <w:rFonts w:ascii="標楷體" w:eastAsia="標楷體" w:hAnsi="Times New Roman" w:cs="Times New Roman"/>
      <w:kern w:val="2"/>
      <w:sz w:val="20"/>
    </w:rPr>
  </w:style>
  <w:style w:type="character" w:styleId="aa">
    <w:name w:val="page number"/>
    <w:basedOn w:val="a0"/>
    <w:rsid w:val="004D6C5D"/>
  </w:style>
  <w:style w:type="paragraph" w:styleId="2">
    <w:name w:val="Body Text Indent 2"/>
    <w:basedOn w:val="a"/>
    <w:link w:val="20"/>
    <w:uiPriority w:val="99"/>
    <w:semiHidden/>
    <w:unhideWhenUsed/>
    <w:rsid w:val="004D6C5D"/>
    <w:pPr>
      <w:spacing w:after="120" w:line="480" w:lineRule="auto"/>
      <w:ind w:leftChars="200" w:left="480"/>
    </w:pPr>
  </w:style>
  <w:style w:type="character" w:customStyle="1" w:styleId="20">
    <w:name w:val="本文縮排 2 字元"/>
    <w:basedOn w:val="a0"/>
    <w:link w:val="2"/>
    <w:uiPriority w:val="99"/>
    <w:semiHidden/>
    <w:rsid w:val="004D6C5D"/>
    <w:rPr>
      <w:rFonts w:ascii="Calibri" w:eastAsia="新細明體" w:hAnsi="Calibri" w:cs="Calibri"/>
      <w:kern w:val="0"/>
      <w:szCs w:val="24"/>
    </w:rPr>
  </w:style>
  <w:style w:type="paragraph" w:styleId="ab">
    <w:name w:val="Body Text Indent"/>
    <w:basedOn w:val="a"/>
    <w:link w:val="ac"/>
    <w:uiPriority w:val="99"/>
    <w:semiHidden/>
    <w:unhideWhenUsed/>
    <w:rsid w:val="004D6C5D"/>
    <w:pPr>
      <w:spacing w:after="120"/>
      <w:ind w:leftChars="200" w:left="480"/>
    </w:pPr>
  </w:style>
  <w:style w:type="character" w:customStyle="1" w:styleId="ac">
    <w:name w:val="本文縮排 字元"/>
    <w:basedOn w:val="a0"/>
    <w:link w:val="ab"/>
    <w:uiPriority w:val="99"/>
    <w:semiHidden/>
    <w:rsid w:val="004D6C5D"/>
    <w:rPr>
      <w:rFonts w:ascii="Calibri" w:eastAsia="新細明體" w:hAnsi="Calibri" w:cs="Calibri"/>
      <w:kern w:val="0"/>
      <w:szCs w:val="24"/>
    </w:rPr>
  </w:style>
  <w:style w:type="paragraph" w:styleId="3">
    <w:name w:val="Body Text Indent 3"/>
    <w:basedOn w:val="a"/>
    <w:link w:val="30"/>
    <w:uiPriority w:val="99"/>
    <w:semiHidden/>
    <w:unhideWhenUsed/>
    <w:rsid w:val="004D6C5D"/>
    <w:pPr>
      <w:spacing w:after="120"/>
      <w:ind w:leftChars="200" w:left="480"/>
    </w:pPr>
    <w:rPr>
      <w:sz w:val="16"/>
      <w:szCs w:val="16"/>
    </w:rPr>
  </w:style>
  <w:style w:type="character" w:customStyle="1" w:styleId="30">
    <w:name w:val="本文縮排 3 字元"/>
    <w:basedOn w:val="a0"/>
    <w:link w:val="3"/>
    <w:uiPriority w:val="99"/>
    <w:semiHidden/>
    <w:rsid w:val="004D6C5D"/>
    <w:rPr>
      <w:rFonts w:ascii="Calibri" w:eastAsia="新細明體" w:hAnsi="Calibri" w:cs="Calibri"/>
      <w:kern w:val="0"/>
      <w:sz w:val="16"/>
      <w:szCs w:val="16"/>
    </w:rPr>
  </w:style>
  <w:style w:type="paragraph" w:customStyle="1" w:styleId="ad">
    <w:name w:val="條文款逗"/>
    <w:basedOn w:val="a"/>
    <w:rsid w:val="004D6C5D"/>
    <w:pPr>
      <w:widowControl w:val="0"/>
      <w:tabs>
        <w:tab w:val="num" w:pos="332"/>
      </w:tabs>
      <w:snapToGrid w:val="0"/>
      <w:spacing w:before="120" w:line="0" w:lineRule="atLeast"/>
      <w:ind w:leftChars="94" w:left="624" w:hangingChars="199" w:hanging="398"/>
    </w:pPr>
    <w:rPr>
      <w:rFonts w:ascii="標楷體" w:eastAsia="標楷體" w:hAnsi="Times New Roman" w:cs="Times New Roman"/>
      <w:kern w:val="2"/>
      <w:sz w:val="20"/>
    </w:rPr>
  </w:style>
  <w:style w:type="paragraph" w:styleId="Web">
    <w:name w:val="Normal (Web)"/>
    <w:basedOn w:val="a"/>
    <w:semiHidden/>
    <w:rsid w:val="004D6C5D"/>
    <w:pPr>
      <w:spacing w:before="100" w:beforeAutospacing="1" w:after="100" w:afterAutospacing="1"/>
    </w:pPr>
    <w:rPr>
      <w:rFonts w:ascii="Arial Unicode MS" w:eastAsia="Arial Unicode MS" w:hAnsi="Arial Unicode MS" w:cs="Times New Roman"/>
    </w:rPr>
  </w:style>
  <w:style w:type="paragraph" w:styleId="ae">
    <w:name w:val="Balloon Text"/>
    <w:basedOn w:val="a"/>
    <w:link w:val="af"/>
    <w:uiPriority w:val="99"/>
    <w:semiHidden/>
    <w:unhideWhenUsed/>
    <w:rsid w:val="009B6DE8"/>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9B6DE8"/>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1391</Words>
  <Characters>7934</Characters>
  <Application>Microsoft Office Word</Application>
  <DocSecurity>0</DocSecurity>
  <Lines>66</Lines>
  <Paragraphs>18</Paragraphs>
  <ScaleCrop>false</ScaleCrop>
  <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2</cp:revision>
  <cp:lastPrinted>2025-05-26T06:25:00Z</cp:lastPrinted>
  <dcterms:created xsi:type="dcterms:W3CDTF">2025-06-04T08:55:00Z</dcterms:created>
  <dcterms:modified xsi:type="dcterms:W3CDTF">2025-06-04T08:55:00Z</dcterms:modified>
</cp:coreProperties>
</file>