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FC7" w:rsidRPr="00537982" w:rsidRDefault="00796FC7" w:rsidP="00796FC7">
      <w:pPr>
        <w:spacing w:line="340" w:lineRule="exact"/>
        <w:jc w:val="center"/>
        <w:rPr>
          <w:rFonts w:ascii="標楷體" w:eastAsia="標楷體" w:hAnsi="標楷體" w:cs="Times New Roman"/>
          <w:b/>
          <w:sz w:val="28"/>
          <w:szCs w:val="28"/>
        </w:rPr>
      </w:pPr>
      <w:r w:rsidRPr="00537982">
        <w:rPr>
          <w:rFonts w:ascii="標楷體" w:eastAsia="標楷體" w:hAnsi="標楷體" w:cs="Times New Roman" w:hint="eastAsia"/>
          <w:b/>
          <w:sz w:val="28"/>
          <w:szCs w:val="28"/>
        </w:rPr>
        <w:t>中華民國期貨業商業同業公會</w:t>
      </w:r>
    </w:p>
    <w:p w:rsidR="00796FC7" w:rsidRPr="00537982" w:rsidRDefault="00D05567" w:rsidP="00796FC7">
      <w:pPr>
        <w:spacing w:line="340" w:lineRule="exact"/>
        <w:jc w:val="center"/>
        <w:rPr>
          <w:rFonts w:ascii="標楷體" w:eastAsia="標楷體" w:hAnsi="標楷體" w:cs="Times New Roman"/>
          <w:b/>
          <w:sz w:val="28"/>
          <w:szCs w:val="28"/>
        </w:rPr>
      </w:pPr>
      <w:r w:rsidRPr="00537982">
        <w:rPr>
          <w:rFonts w:ascii="標楷體" w:eastAsia="標楷體" w:hAnsi="標楷體" w:cs="Times New Roman" w:hint="eastAsia"/>
          <w:b/>
          <w:sz w:val="28"/>
          <w:szCs w:val="28"/>
        </w:rPr>
        <w:t>「網路安全防護自律規範」</w:t>
      </w:r>
      <w:bookmarkStart w:id="0" w:name="_GoBack"/>
      <w:bookmarkEnd w:id="0"/>
    </w:p>
    <w:p w:rsidR="009D0F91" w:rsidRPr="00537982" w:rsidRDefault="001D2180" w:rsidP="00796FC7">
      <w:pPr>
        <w:spacing w:line="340" w:lineRule="exact"/>
        <w:jc w:val="center"/>
        <w:rPr>
          <w:rFonts w:ascii="標楷體" w:eastAsia="標楷體" w:hAnsi="標楷體" w:cs="Times New Roman"/>
          <w:b/>
          <w:sz w:val="28"/>
          <w:szCs w:val="28"/>
        </w:rPr>
      </w:pPr>
      <w:r w:rsidRPr="00537982">
        <w:rPr>
          <w:rFonts w:ascii="標楷體" w:eastAsia="標楷體" w:hAnsi="標楷體" w:cs="Times New Roman"/>
          <w:b/>
          <w:sz w:val="28"/>
          <w:szCs w:val="28"/>
        </w:rPr>
        <w:t>修正條文對照表</w:t>
      </w:r>
    </w:p>
    <w:tbl>
      <w:tblPr>
        <w:tblStyle w:val="a3"/>
        <w:tblW w:w="10768" w:type="dxa"/>
        <w:jc w:val="center"/>
        <w:tblLook w:val="04A0" w:firstRow="1" w:lastRow="0" w:firstColumn="1" w:lastColumn="0" w:noHBand="0" w:noVBand="1"/>
      </w:tblPr>
      <w:tblGrid>
        <w:gridCol w:w="3964"/>
        <w:gridCol w:w="3828"/>
        <w:gridCol w:w="2976"/>
      </w:tblGrid>
      <w:tr w:rsidR="005C0DC9" w:rsidRPr="00D41C1C" w:rsidTr="00E37B8A">
        <w:trPr>
          <w:trHeight w:val="411"/>
          <w:tblHeader/>
          <w:jc w:val="center"/>
        </w:trPr>
        <w:tc>
          <w:tcPr>
            <w:tcW w:w="3964" w:type="dxa"/>
            <w:shd w:val="clear" w:color="auto" w:fill="auto"/>
          </w:tcPr>
          <w:p w:rsidR="005C0DC9" w:rsidRPr="00D41C1C" w:rsidRDefault="00020670" w:rsidP="005C0DC9">
            <w:pPr>
              <w:spacing w:line="340" w:lineRule="exact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>
              <w:rPr>
                <w:rFonts w:ascii="標楷體" w:eastAsia="標楷體" w:hAnsi="標楷體" w:cs="Times New Roman"/>
                <w:b/>
                <w:bCs/>
                <w:szCs w:val="24"/>
              </w:rPr>
              <w:t>修正</w:t>
            </w:r>
            <w:r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條文</w:t>
            </w:r>
          </w:p>
        </w:tc>
        <w:tc>
          <w:tcPr>
            <w:tcW w:w="3828" w:type="dxa"/>
            <w:shd w:val="clear" w:color="auto" w:fill="auto"/>
          </w:tcPr>
          <w:p w:rsidR="005C0DC9" w:rsidRPr="00D41C1C" w:rsidRDefault="00020670" w:rsidP="005C0DC9">
            <w:pPr>
              <w:spacing w:line="340" w:lineRule="exact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現行條文</w:t>
            </w:r>
          </w:p>
        </w:tc>
        <w:tc>
          <w:tcPr>
            <w:tcW w:w="2976" w:type="dxa"/>
          </w:tcPr>
          <w:p w:rsidR="005C0DC9" w:rsidRPr="00D41C1C" w:rsidRDefault="005C0DC9" w:rsidP="005C0DC9">
            <w:pPr>
              <w:spacing w:line="340" w:lineRule="exact"/>
              <w:jc w:val="center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D41C1C">
              <w:rPr>
                <w:rFonts w:ascii="標楷體" w:eastAsia="標楷體" w:hAnsi="標楷體" w:cs="Times New Roman"/>
                <w:b/>
                <w:bCs/>
                <w:szCs w:val="24"/>
              </w:rPr>
              <w:t>說明</w:t>
            </w:r>
          </w:p>
        </w:tc>
      </w:tr>
      <w:tr w:rsidR="00CC6F49" w:rsidRPr="00796FC7" w:rsidTr="00E37B8A">
        <w:trPr>
          <w:jc w:val="center"/>
        </w:trPr>
        <w:tc>
          <w:tcPr>
            <w:tcW w:w="3964" w:type="dxa"/>
          </w:tcPr>
          <w:p w:rsidR="00CC561F" w:rsidRDefault="00DF2044" w:rsidP="00E905EE">
            <w:pPr>
              <w:spacing w:line="340" w:lineRule="exact"/>
              <w:jc w:val="both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DF2044"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第</w:t>
            </w:r>
            <w:r w:rsidR="00C34A75"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二</w:t>
            </w:r>
            <w:r w:rsidRPr="00DF2044"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條</w:t>
            </w:r>
            <w:r w:rsidR="00C34A75"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 xml:space="preserve"> </w:t>
            </w:r>
            <w:r w:rsidR="00C34A75" w:rsidRPr="00C34A75"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名詞定義</w:t>
            </w:r>
          </w:p>
          <w:p w:rsidR="009C77B4" w:rsidRDefault="009C77B4" w:rsidP="00C34A75">
            <w:pPr>
              <w:autoSpaceDE w:val="0"/>
              <w:autoSpaceDN w:val="0"/>
              <w:adjustRightInd w:val="0"/>
              <w:ind w:left="480" w:hangingChars="200" w:hanging="480"/>
              <w:rPr>
                <w:rFonts w:ascii="標楷體" w:eastAsia="標楷體" w:hAnsi="標楷體" w:cs="Times New Roman"/>
                <w:bCs/>
                <w:szCs w:val="24"/>
              </w:rPr>
            </w:pPr>
            <w:r w:rsidRPr="009C77B4">
              <w:rPr>
                <w:rFonts w:ascii="標楷體" w:eastAsia="標楷體" w:hAnsi="標楷體" w:cs="Times New Roman" w:hint="eastAsia"/>
                <w:bCs/>
                <w:szCs w:val="24"/>
              </w:rPr>
              <w:t>一、～五、（略）</w:t>
            </w:r>
          </w:p>
          <w:p w:rsidR="004B5A08" w:rsidRPr="006459D1" w:rsidRDefault="00C34A75" w:rsidP="009C77B4">
            <w:pPr>
              <w:autoSpaceDE w:val="0"/>
              <w:autoSpaceDN w:val="0"/>
              <w:adjustRightInd w:val="0"/>
              <w:ind w:left="480" w:hangingChars="200" w:hanging="480"/>
              <w:rPr>
                <w:rFonts w:ascii="標楷體" w:eastAsia="標楷體" w:hAnsi="標楷體" w:cs="Times New Roman"/>
                <w:color w:val="FF0000"/>
                <w:szCs w:val="24"/>
                <w:u w:val="single"/>
              </w:rPr>
            </w:pPr>
            <w:r w:rsidRPr="006459D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六、資訊服務供應商</w:t>
            </w:r>
            <w:r w:rsidR="00EF7947" w:rsidRPr="006459D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：</w:t>
            </w:r>
            <w:r w:rsidRPr="006459D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係指符合</w:t>
            </w:r>
            <w:r w:rsidR="00CB2C4E" w:rsidRPr="006459D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「本公會</w:t>
            </w:r>
            <w:r w:rsidR="00C86294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期貨業</w:t>
            </w:r>
            <w:r w:rsidR="009C77B4" w:rsidRPr="006459D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資通系統與服務供應鏈風險管理自律規範</w:t>
            </w:r>
            <w:r w:rsidR="00CB2C4E" w:rsidRPr="006459D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」</w:t>
            </w:r>
            <w:r w:rsidRPr="006459D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遴選條件之廠商。</w:t>
            </w:r>
          </w:p>
          <w:p w:rsidR="008E2782" w:rsidRDefault="008E2782" w:rsidP="008E2782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strike/>
                <w:color w:val="000000" w:themeColor="text1"/>
                <w:szCs w:val="24"/>
              </w:rPr>
            </w:pPr>
          </w:p>
          <w:p w:rsidR="008E2782" w:rsidRDefault="008E2782" w:rsidP="008E2782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strike/>
                <w:color w:val="000000" w:themeColor="text1"/>
                <w:szCs w:val="24"/>
              </w:rPr>
            </w:pPr>
          </w:p>
          <w:p w:rsidR="008E2782" w:rsidRDefault="008E2782" w:rsidP="008E2782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strike/>
                <w:color w:val="000000" w:themeColor="text1"/>
                <w:szCs w:val="24"/>
              </w:rPr>
            </w:pPr>
          </w:p>
          <w:p w:rsidR="008E2782" w:rsidRPr="00C86294" w:rsidRDefault="008E2782" w:rsidP="008E2782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strike/>
                <w:color w:val="000000" w:themeColor="text1"/>
                <w:szCs w:val="24"/>
              </w:rPr>
            </w:pPr>
          </w:p>
          <w:p w:rsidR="008E2782" w:rsidRDefault="008E2782" w:rsidP="009C77B4">
            <w:pPr>
              <w:autoSpaceDE w:val="0"/>
              <w:autoSpaceDN w:val="0"/>
              <w:adjustRightInd w:val="0"/>
              <w:ind w:left="480" w:hangingChars="200" w:hanging="480"/>
              <w:rPr>
                <w:rFonts w:ascii="標楷體" w:eastAsia="標楷體" w:hAnsi="標楷體" w:cs="Times New Roman"/>
                <w:szCs w:val="24"/>
              </w:rPr>
            </w:pPr>
            <w:r w:rsidRPr="006459D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七</w:t>
            </w:r>
            <w:r w:rsidRPr="00C34A75">
              <w:rPr>
                <w:rFonts w:ascii="標楷體" w:eastAsia="標楷體" w:hAnsi="標楷體" w:cs="Times New Roman" w:hint="eastAsia"/>
                <w:szCs w:val="24"/>
              </w:rPr>
              <w:t>、第一類期貨商：係指依「證券暨期貨市場各服務事業建立內部控制制度處理準則」第三十六條之二條文指派資訊安全長之期貨商。</w:t>
            </w:r>
          </w:p>
          <w:p w:rsidR="008E2782" w:rsidRPr="008E2782" w:rsidRDefault="008E2782" w:rsidP="008E2782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strike/>
                <w:color w:val="000000" w:themeColor="text1"/>
                <w:szCs w:val="24"/>
              </w:rPr>
            </w:pPr>
          </w:p>
          <w:p w:rsidR="008E2782" w:rsidRDefault="008E2782" w:rsidP="008E2782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strike/>
                <w:color w:val="000000" w:themeColor="text1"/>
                <w:szCs w:val="24"/>
              </w:rPr>
            </w:pPr>
          </w:p>
          <w:p w:rsidR="008E2782" w:rsidRDefault="008E2782" w:rsidP="009C77B4">
            <w:pPr>
              <w:autoSpaceDE w:val="0"/>
              <w:autoSpaceDN w:val="0"/>
              <w:adjustRightInd w:val="0"/>
              <w:ind w:left="480" w:hangingChars="200" w:hanging="480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6459D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八</w:t>
            </w:r>
            <w:r w:rsidRPr="00E01A7E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、</w:t>
            </w:r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第二類期貨商：係指非屬第一類期貨商之期貨商。</w:t>
            </w:r>
          </w:p>
          <w:p w:rsidR="008E2782" w:rsidRPr="00CC561F" w:rsidRDefault="008E2782" w:rsidP="009C77B4">
            <w:pPr>
              <w:autoSpaceDE w:val="0"/>
              <w:autoSpaceDN w:val="0"/>
              <w:adjustRightInd w:val="0"/>
              <w:ind w:left="480" w:hangingChars="200" w:hanging="480"/>
              <w:rPr>
                <w:rFonts w:ascii="標楷體" w:eastAsia="標楷體" w:hAnsi="標楷體" w:cs="Times New Roman"/>
                <w:szCs w:val="24"/>
                <w:u w:val="single"/>
              </w:rPr>
            </w:pPr>
            <w:r w:rsidRPr="006459D1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九</w:t>
            </w:r>
            <w:r w:rsidRPr="00E01A7E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、</w:t>
            </w:r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外國期貨商：係指外資集團在台子公司或分公司。外國期貨商如有標準較佳之規範則從其規範；若無，則應遵守本國的規範。</w:t>
            </w:r>
          </w:p>
        </w:tc>
        <w:tc>
          <w:tcPr>
            <w:tcW w:w="3828" w:type="dxa"/>
          </w:tcPr>
          <w:p w:rsidR="00C34A75" w:rsidRDefault="00C34A75" w:rsidP="00CC561F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b/>
                <w:bCs/>
                <w:szCs w:val="24"/>
              </w:rPr>
            </w:pPr>
            <w:r w:rsidRPr="00C34A75">
              <w:rPr>
                <w:rFonts w:ascii="標楷體" w:eastAsia="標楷體" w:hAnsi="標楷體" w:cs="Times New Roman" w:hint="eastAsia"/>
                <w:b/>
                <w:bCs/>
                <w:szCs w:val="24"/>
              </w:rPr>
              <w:t>第二條 名詞定義</w:t>
            </w:r>
          </w:p>
          <w:p w:rsidR="00CC6F49" w:rsidRDefault="009C77B4" w:rsidP="00C34A7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C77B4">
              <w:rPr>
                <w:rFonts w:ascii="標楷體" w:eastAsia="標楷體" w:hAnsi="標楷體" w:cs="Times New Roman" w:hint="eastAsia"/>
                <w:szCs w:val="24"/>
              </w:rPr>
              <w:t>一、～五、（略）</w:t>
            </w:r>
          </w:p>
          <w:p w:rsidR="008E2782" w:rsidRDefault="008E2782" w:rsidP="00C34A7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strike/>
                <w:color w:val="000000" w:themeColor="text1"/>
                <w:szCs w:val="24"/>
              </w:rPr>
            </w:pPr>
          </w:p>
          <w:p w:rsidR="008E2782" w:rsidRDefault="008E2782" w:rsidP="00C34A7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strike/>
                <w:color w:val="000000" w:themeColor="text1"/>
                <w:szCs w:val="24"/>
              </w:rPr>
            </w:pPr>
          </w:p>
          <w:p w:rsidR="008E2782" w:rsidRDefault="008E2782" w:rsidP="00C34A7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strike/>
                <w:color w:val="000000" w:themeColor="text1"/>
                <w:szCs w:val="24"/>
              </w:rPr>
            </w:pPr>
          </w:p>
          <w:p w:rsidR="008E2782" w:rsidRDefault="008E2782" w:rsidP="00C34A7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strike/>
                <w:color w:val="000000" w:themeColor="text1"/>
                <w:szCs w:val="24"/>
              </w:rPr>
            </w:pPr>
          </w:p>
          <w:p w:rsidR="008E2782" w:rsidRDefault="008E2782" w:rsidP="00C34A7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strike/>
                <w:color w:val="000000" w:themeColor="text1"/>
                <w:szCs w:val="24"/>
              </w:rPr>
            </w:pPr>
          </w:p>
          <w:p w:rsidR="008E2782" w:rsidRDefault="008E2782" w:rsidP="00C34A7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strike/>
                <w:color w:val="000000" w:themeColor="text1"/>
                <w:szCs w:val="24"/>
              </w:rPr>
            </w:pPr>
          </w:p>
          <w:p w:rsidR="008E2782" w:rsidRDefault="008E2782" w:rsidP="00C34A7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strike/>
                <w:color w:val="000000" w:themeColor="text1"/>
                <w:szCs w:val="24"/>
              </w:rPr>
            </w:pPr>
          </w:p>
          <w:p w:rsidR="008E2782" w:rsidRDefault="008E2782" w:rsidP="00C34A7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strike/>
                <w:color w:val="000000" w:themeColor="text1"/>
                <w:szCs w:val="24"/>
              </w:rPr>
            </w:pPr>
          </w:p>
          <w:p w:rsidR="008E2782" w:rsidRDefault="008E2782" w:rsidP="00C34A7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37B8A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六</w:t>
            </w:r>
            <w:r w:rsidRPr="00C34A75">
              <w:rPr>
                <w:rFonts w:ascii="標楷體" w:eastAsia="標楷體" w:hAnsi="標楷體" w:cs="Times New Roman" w:hint="eastAsia"/>
                <w:szCs w:val="24"/>
              </w:rPr>
              <w:t>、第一類期貨商：係指依「證券暨期貨市場各服務事業建立內部控制制度處理準則」第三十六條之二條文指派資訊安全長之期貨商</w:t>
            </w:r>
            <w:r w:rsidRPr="00D315A3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或「建立期貨商資通安全檢查機制-分級防護應辦事項附表」所列第一級、第二級、第三級期貨商</w:t>
            </w:r>
            <w:r w:rsidRPr="00C34A75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  <w:p w:rsidR="008E2782" w:rsidRDefault="008E2782" w:rsidP="00C34A7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E37B8A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七</w:t>
            </w:r>
            <w:r w:rsidRPr="00E01A7E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、</w:t>
            </w:r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第二類期貨商：係指非屬第一類期貨商之期貨商。</w:t>
            </w:r>
          </w:p>
          <w:p w:rsidR="008E2782" w:rsidRPr="00D05567" w:rsidRDefault="008E2782" w:rsidP="004075B2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37B8A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八</w:t>
            </w:r>
            <w:r w:rsidRPr="00E01A7E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、</w:t>
            </w:r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外國期貨商：係指外資集團在台子公司或分公司。外國期貨商如有標準較佳之規範則從其規範；若無，則應遵守本國的規範。</w:t>
            </w:r>
          </w:p>
        </w:tc>
        <w:tc>
          <w:tcPr>
            <w:tcW w:w="2976" w:type="dxa"/>
          </w:tcPr>
          <w:p w:rsidR="007A3E5C" w:rsidRPr="007A3E5C" w:rsidRDefault="00C34A75" w:rsidP="00E905EE">
            <w:pPr>
              <w:pStyle w:val="a4"/>
              <w:numPr>
                <w:ilvl w:val="0"/>
                <w:numId w:val="20"/>
              </w:numPr>
              <w:spacing w:line="340" w:lineRule="exact"/>
              <w:ind w:leftChars="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新增</w:t>
            </w:r>
            <w:r w:rsidR="00DF204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本條第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六</w:t>
            </w:r>
            <w:r w:rsidR="00327130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點</w:t>
            </w:r>
            <w:r w:rsidR="007A3E5C" w:rsidRPr="007A3E5C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。</w:t>
            </w:r>
          </w:p>
          <w:p w:rsidR="00A913EC" w:rsidRDefault="00C34A75" w:rsidP="00C86294">
            <w:pPr>
              <w:pStyle w:val="a4"/>
              <w:numPr>
                <w:ilvl w:val="0"/>
                <w:numId w:val="20"/>
              </w:numPr>
              <w:spacing w:line="340" w:lineRule="exact"/>
              <w:ind w:leftChars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C34A75">
              <w:rPr>
                <w:rFonts w:ascii="標楷體" w:eastAsia="標楷體" w:hAnsi="標楷體" w:cs="Times New Roman" w:hint="eastAsia"/>
                <w:szCs w:val="24"/>
              </w:rPr>
              <w:t>參照</w:t>
            </w:r>
            <w:r w:rsidR="00C86294" w:rsidRPr="00C86294">
              <w:rPr>
                <w:rFonts w:ascii="標楷體" w:eastAsia="標楷體" w:hAnsi="標楷體" w:cs="Times New Roman" w:hint="eastAsia"/>
                <w:szCs w:val="24"/>
              </w:rPr>
              <w:t>本公會</w:t>
            </w:r>
            <w:r w:rsidR="00CB2C4E" w:rsidRPr="00CB2C4E">
              <w:rPr>
                <w:rFonts w:ascii="標楷體" w:eastAsia="標楷體" w:hAnsi="標楷體" w:cs="Times New Roman" w:hint="eastAsia"/>
                <w:szCs w:val="24"/>
              </w:rPr>
              <w:t>「</w:t>
            </w:r>
            <w:r w:rsidR="00C86294">
              <w:rPr>
                <w:rFonts w:ascii="標楷體" w:eastAsia="標楷體" w:hAnsi="標楷體" w:cs="Times New Roman" w:hint="eastAsia"/>
                <w:szCs w:val="24"/>
              </w:rPr>
              <w:t>期貨業</w:t>
            </w:r>
            <w:r w:rsidR="009C77B4" w:rsidRPr="009C77B4">
              <w:rPr>
                <w:rFonts w:ascii="標楷體" w:eastAsia="標楷體" w:hAnsi="標楷體" w:cs="Times New Roman" w:hint="eastAsia"/>
                <w:szCs w:val="24"/>
              </w:rPr>
              <w:t>資通系統與服務供應鏈風險管理自律規範</w:t>
            </w:r>
            <w:r w:rsidR="00CB2C4E" w:rsidRPr="00CB2C4E">
              <w:rPr>
                <w:rFonts w:ascii="標楷體" w:eastAsia="標楷體" w:hAnsi="標楷體" w:cs="Times New Roman" w:hint="eastAsia"/>
                <w:szCs w:val="24"/>
              </w:rPr>
              <w:t>」</w:t>
            </w:r>
            <w:r w:rsidRPr="00C34A75">
              <w:rPr>
                <w:rFonts w:ascii="標楷體" w:eastAsia="標楷體" w:hAnsi="標楷體" w:cs="Times New Roman" w:hint="eastAsia"/>
                <w:szCs w:val="24"/>
              </w:rPr>
              <w:t>新增「六、資訊服務供應商」之名詞定義。</w:t>
            </w:r>
          </w:p>
          <w:p w:rsidR="008E2782" w:rsidRDefault="008E2782" w:rsidP="008E2782">
            <w:pPr>
              <w:pStyle w:val="a4"/>
              <w:numPr>
                <w:ilvl w:val="0"/>
                <w:numId w:val="20"/>
              </w:numPr>
              <w:spacing w:line="340" w:lineRule="exact"/>
              <w:ind w:leftChars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8E2782">
              <w:rPr>
                <w:rFonts w:ascii="標楷體" w:eastAsia="標楷體" w:hAnsi="標楷體" w:cs="Times New Roman" w:hint="eastAsia"/>
                <w:szCs w:val="24"/>
              </w:rPr>
              <w:t>依據金管會113年1月4日金管證券字第1120385996號令，有關設立資訊安全長條件調整，刪除分類之條件。</w:t>
            </w:r>
          </w:p>
          <w:p w:rsidR="008E2782" w:rsidRPr="00436E0E" w:rsidRDefault="008E2782" w:rsidP="008E2782">
            <w:pPr>
              <w:pStyle w:val="a4"/>
              <w:numPr>
                <w:ilvl w:val="0"/>
                <w:numId w:val="20"/>
              </w:numPr>
              <w:ind w:leftChars="0"/>
              <w:rPr>
                <w:rFonts w:ascii="標楷體" w:eastAsia="標楷體" w:hAnsi="標楷體" w:cs="Times New Roman"/>
                <w:szCs w:val="24"/>
              </w:rPr>
            </w:pPr>
            <w:r w:rsidRPr="008E2782">
              <w:rPr>
                <w:rFonts w:ascii="標楷體" w:eastAsia="標楷體" w:hAnsi="標楷體" w:cs="Times New Roman" w:hint="eastAsia"/>
                <w:szCs w:val="24"/>
              </w:rPr>
              <w:t>項次調整。</w:t>
            </w:r>
          </w:p>
        </w:tc>
      </w:tr>
      <w:tr w:rsidR="00E01A7E" w:rsidRPr="00E01A7E" w:rsidTr="00E37B8A">
        <w:trPr>
          <w:jc w:val="center"/>
        </w:trPr>
        <w:tc>
          <w:tcPr>
            <w:tcW w:w="3964" w:type="dxa"/>
          </w:tcPr>
          <w:p w:rsidR="00E01A7E" w:rsidRPr="00E01A7E" w:rsidRDefault="00E01A7E" w:rsidP="00E01A7E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E01A7E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第三條 網路架構與網路安全管理</w:t>
            </w:r>
          </w:p>
          <w:p w:rsidR="00E01A7E" w:rsidRPr="00E01A7E" w:rsidRDefault="009C77B4" w:rsidP="00E01A7E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二、網路區域劃分</w:t>
            </w:r>
          </w:p>
          <w:p w:rsidR="00E01A7E" w:rsidRPr="009C77B4" w:rsidRDefault="009C77B4" w:rsidP="00E01A7E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FF0000"/>
                <w:szCs w:val="24"/>
                <w:u w:val="single"/>
              </w:rPr>
            </w:pPr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(二)</w:t>
            </w:r>
            <w:proofErr w:type="gramStart"/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網段應</w:t>
            </w:r>
            <w:proofErr w:type="gramEnd"/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以維持業務運作劃分區域：如隔離區 (非軍事區，Demilitarized Zone, DMZ)、營運區(Production, Prod.</w:t>
            </w:r>
            <w:proofErr w:type="gramStart"/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)、</w:t>
            </w:r>
            <w:proofErr w:type="gramEnd"/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測試區(Unit Test, UT或User Acceptance Test, UAT)及其他等網段。</w:t>
            </w:r>
            <w:r w:rsidR="00C86294" w:rsidRPr="00C86294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期貨業</w:t>
            </w:r>
            <w:r w:rsidRPr="009C77B4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應每半年檢視DMZ區之防火牆規則，並留存相關檢視紀錄。</w:t>
            </w:r>
          </w:p>
          <w:p w:rsidR="00E01A7E" w:rsidRPr="00E01A7E" w:rsidRDefault="00E01A7E" w:rsidP="00E01A7E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E01A7E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(三)期貨業應定義外部網路與內部網路，外部網路連接網際網路，內部網路區域為組織人員與內</w:t>
            </w:r>
            <w:r w:rsidRPr="00E01A7E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lastRenderedPageBreak/>
              <w:t>部服務的伺服器配置區域。由外部網路到內部網路的流量需要經過存取控制，</w:t>
            </w:r>
            <w:r w:rsidRPr="00706E2A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僅限於組織內人員公務用或資訊服務供應商申請核准後使用，</w:t>
            </w:r>
            <w:r w:rsidRPr="00E01A7E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避免非允許的服務進入。</w:t>
            </w:r>
          </w:p>
          <w:p w:rsidR="00C93680" w:rsidRDefault="009C77B4" w:rsidP="00201A1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(五)期貨業應使用適當方式隔離限制存取與特定服務，且</w:t>
            </w:r>
            <w:proofErr w:type="gramStart"/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應視區隔</w:t>
            </w:r>
            <w:proofErr w:type="gramEnd"/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方式，</w:t>
            </w:r>
            <w:r w:rsidRPr="009C77B4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每年</w:t>
            </w:r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定期檢視防火牆規則或存取控制清單(Access Control List, ACL)。</w:t>
            </w:r>
          </w:p>
          <w:p w:rsidR="00201A15" w:rsidRDefault="00201A15" w:rsidP="00201A1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201A15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三、</w:t>
            </w:r>
            <w:r w:rsidR="00C93680" w:rsidRPr="00C93680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內部網路管理</w:t>
            </w:r>
          </w:p>
          <w:p w:rsidR="00373FF6" w:rsidRPr="00373FF6" w:rsidRDefault="00373FF6" w:rsidP="00373FF6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FF0000"/>
                <w:szCs w:val="24"/>
                <w:u w:val="single"/>
              </w:rPr>
            </w:pPr>
            <w:r w:rsidRPr="00373FF6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(</w:t>
            </w:r>
            <w:proofErr w:type="gramStart"/>
            <w:r w:rsidRPr="00373FF6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一</w:t>
            </w:r>
            <w:proofErr w:type="gramEnd"/>
            <w:r w:rsidRPr="00373FF6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)期貨業如有提供內部無線網路使用，其存取保護應採用現行公開資訊已認可且無弱點之安全協定，並比照內部網路管理程序，僅限於內</w:t>
            </w:r>
            <w:r w:rsidR="00686143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部</w:t>
            </w:r>
            <w:r w:rsidRPr="00373FF6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人員公務用或資訊服務供應商申請核准後使用。</w:t>
            </w:r>
          </w:p>
          <w:p w:rsidR="00201A15" w:rsidRPr="00201A15" w:rsidRDefault="00201A15" w:rsidP="00201A1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AD3FD4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(</w:t>
            </w:r>
            <w:r w:rsidR="00373FF6" w:rsidRPr="00AD3FD4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二</w:t>
            </w:r>
            <w:r w:rsidRPr="00AD3FD4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)</w:t>
            </w:r>
            <w:r w:rsidRPr="00201A15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期貨業如有提供</w:t>
            </w:r>
            <w:r w:rsidRPr="00201A15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外部</w:t>
            </w:r>
            <w:r w:rsidRPr="00201A15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無線網路使用，</w:t>
            </w:r>
            <w:r w:rsidR="00373FF6" w:rsidRPr="00373FF6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其</w:t>
            </w:r>
            <w:r w:rsidRPr="00201A15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存取保護應採用現行公開資訊已認可且無弱點之安全協定。</w:t>
            </w:r>
          </w:p>
          <w:p w:rsidR="00E01A7E" w:rsidRDefault="00201A15" w:rsidP="00201A1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AD3FD4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(</w:t>
            </w:r>
            <w:r w:rsidR="00373FF6" w:rsidRPr="00AD3FD4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三</w:t>
            </w:r>
            <w:r w:rsidRPr="00AD3FD4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)</w:t>
            </w:r>
            <w:r w:rsidRPr="00201A15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期貨業應建立無線網路密碼原則，以降低密碼破解之風險。</w:t>
            </w:r>
          </w:p>
          <w:p w:rsidR="00373FF6" w:rsidRPr="00E01A7E" w:rsidRDefault="00373FF6" w:rsidP="00255584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AD3FD4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(四)</w:t>
            </w:r>
            <w:r w:rsidRPr="00373FF6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期貨業如允許內部人員</w:t>
            </w:r>
            <w:r w:rsidRPr="00373FF6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或資訊服務供應商</w:t>
            </w:r>
            <w:r w:rsidRPr="00373FF6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使用外部設備存取內部網路，應提出申請並檢視設備安全性與相關授權，並限制存取範圍。</w:t>
            </w:r>
          </w:p>
        </w:tc>
        <w:tc>
          <w:tcPr>
            <w:tcW w:w="3828" w:type="dxa"/>
          </w:tcPr>
          <w:p w:rsidR="00E01A7E" w:rsidRPr="00E01A7E" w:rsidRDefault="00E01A7E" w:rsidP="00C34A7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E01A7E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lastRenderedPageBreak/>
              <w:t>第三條 網路架構與網路安全管理</w:t>
            </w:r>
          </w:p>
          <w:p w:rsidR="00E01A7E" w:rsidRPr="00E01A7E" w:rsidRDefault="00E01A7E" w:rsidP="00C34A7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E01A7E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二、</w:t>
            </w:r>
            <w:r w:rsidR="009C77B4"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網路區域劃分</w:t>
            </w:r>
          </w:p>
          <w:p w:rsidR="00E01A7E" w:rsidRDefault="009C77B4" w:rsidP="00E01A7E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(二)</w:t>
            </w:r>
            <w:proofErr w:type="gramStart"/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網段應</w:t>
            </w:r>
            <w:proofErr w:type="gramEnd"/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以維持業務運作劃分區域：如隔離區 (非軍事區，Demilitarized Zone, DMZ)、營運區(Production, Prod.</w:t>
            </w:r>
            <w:proofErr w:type="gramStart"/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)、</w:t>
            </w:r>
            <w:proofErr w:type="gramEnd"/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測試區(Unit Test, UT或User Acceptance Test, UAT)及其他等網段。</w:t>
            </w:r>
          </w:p>
          <w:p w:rsidR="008E2782" w:rsidRDefault="008E2782" w:rsidP="00E01A7E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  <w:p w:rsidR="008E2782" w:rsidRPr="00E01A7E" w:rsidRDefault="008E2782" w:rsidP="00E01A7E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  <w:p w:rsidR="00E01A7E" w:rsidRDefault="00E01A7E" w:rsidP="00E01A7E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E01A7E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(三)期貨業應定義外部網路與內部網路，外部網路連接網際網路，內部網路區域為組織人員與內</w:t>
            </w:r>
            <w:r w:rsidRPr="00E01A7E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lastRenderedPageBreak/>
              <w:t>部服務的伺服器配置區域。由外部網路到內部網路的流量需要經過存取控制，避免非允許的服務進入。</w:t>
            </w:r>
          </w:p>
          <w:p w:rsidR="009C77B4" w:rsidRDefault="009C77B4" w:rsidP="00E01A7E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  <w:p w:rsidR="009C77B4" w:rsidRPr="00E01A7E" w:rsidRDefault="009C77B4" w:rsidP="00E01A7E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  <w:p w:rsidR="00C93680" w:rsidRDefault="009C77B4" w:rsidP="00201A1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(五)期貨業應使用適當方式隔離限制存取與特定服務，且</w:t>
            </w:r>
            <w:proofErr w:type="gramStart"/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應視區隔</w:t>
            </w:r>
            <w:proofErr w:type="gramEnd"/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方式，定期檢視防火牆規則或存取控制清單(Access Control List, ACL)。</w:t>
            </w:r>
          </w:p>
          <w:p w:rsidR="00201A15" w:rsidRDefault="00E01A7E" w:rsidP="00201A1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E01A7E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三、</w:t>
            </w:r>
            <w:r w:rsidR="00C93680" w:rsidRPr="00C93680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內部網路管理</w:t>
            </w:r>
          </w:p>
          <w:p w:rsidR="00373FF6" w:rsidRDefault="00373FF6" w:rsidP="00201A1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  <w:p w:rsidR="00373FF6" w:rsidRDefault="00373FF6" w:rsidP="00201A1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  <w:p w:rsidR="00373FF6" w:rsidRDefault="00373FF6" w:rsidP="00201A1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  <w:p w:rsidR="00373FF6" w:rsidRDefault="00373FF6" w:rsidP="00201A1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  <w:p w:rsidR="00373FF6" w:rsidRDefault="00373FF6" w:rsidP="00201A1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  <w:p w:rsidR="00373FF6" w:rsidRDefault="00373FF6" w:rsidP="00201A1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  <w:p w:rsidR="00201A15" w:rsidRPr="00201A15" w:rsidRDefault="00201A15" w:rsidP="00201A1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E37B8A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(</w:t>
            </w:r>
            <w:proofErr w:type="gramStart"/>
            <w:r w:rsidRPr="00E37B8A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一</w:t>
            </w:r>
            <w:proofErr w:type="gramEnd"/>
            <w:r w:rsidRPr="00E37B8A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)</w:t>
            </w:r>
            <w:r w:rsidRPr="00201A15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期貨業如有提供無線網路</w:t>
            </w:r>
            <w:r w:rsidRPr="00D315A3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供內/外部人員</w:t>
            </w:r>
            <w:r w:rsidRPr="00201A15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使用，</w:t>
            </w:r>
            <w:r w:rsidRPr="00D315A3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無線網路</w:t>
            </w:r>
            <w:r w:rsidRPr="00201A15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存取保護應採用現行公開資訊已認可且無弱點之安全協定。</w:t>
            </w:r>
          </w:p>
          <w:p w:rsidR="00E01A7E" w:rsidRDefault="00201A15" w:rsidP="00201A1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E37B8A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(二)</w:t>
            </w:r>
            <w:r w:rsidRPr="00201A15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期貨業應建立無線網路密碼原則，以降低密碼破解之風險。</w:t>
            </w:r>
          </w:p>
          <w:p w:rsidR="00373FF6" w:rsidRPr="00E01A7E" w:rsidRDefault="00373FF6" w:rsidP="00E37B8A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E37B8A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(三)</w:t>
            </w:r>
            <w:r w:rsidRPr="00373FF6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期貨業如允許內</w:t>
            </w:r>
            <w:r w:rsidRPr="00D315A3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/外</w:t>
            </w:r>
            <w:r w:rsidRPr="00373FF6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部人員使用外部設備存取內部網路，應提出申請並檢視設備安全性與相關授權，並限制存取範圍。</w:t>
            </w:r>
          </w:p>
        </w:tc>
        <w:tc>
          <w:tcPr>
            <w:tcW w:w="2976" w:type="dxa"/>
          </w:tcPr>
          <w:p w:rsidR="00706E2A" w:rsidRDefault="009C77B4" w:rsidP="009C77B4">
            <w:pPr>
              <w:ind w:left="480" w:hangingChars="200" w:hanging="480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lastRenderedPageBreak/>
              <w:t>一、修正本條第二款第二目及第五目。</w:t>
            </w:r>
            <w:r w:rsidR="004075B2" w:rsidRPr="004075B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配合</w:t>
            </w:r>
            <w:r w:rsidR="00C00065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期交所</w:t>
            </w:r>
            <w:r w:rsidR="004075B2" w:rsidRPr="004075B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113年</w:t>
            </w:r>
            <w:r w:rsidR="00C00065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9</w:t>
            </w:r>
            <w:r w:rsidR="004075B2" w:rsidRPr="004075B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月</w:t>
            </w:r>
            <w:r w:rsidR="00C00065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2</w:t>
            </w:r>
            <w:r w:rsidR="004075B2" w:rsidRPr="004075B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日</w:t>
            </w:r>
            <w:r w:rsidR="00C00065" w:rsidRPr="00C00065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台期輔字第1130002618號</w:t>
            </w:r>
            <w:r w:rsidR="004075B2" w:rsidRPr="004075B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函修正</w:t>
            </w:r>
            <w:r w:rsidR="00C00065" w:rsidRPr="00C00065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「建立期貨商資通安全檢查機制」</w:t>
            </w:r>
            <w:r w:rsidR="004075B2" w:rsidRPr="004075B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通訊與作業管理</w:t>
            </w:r>
            <w:r w:rsidR="00D8376C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之網路安全管理</w:t>
            </w:r>
            <w:r w:rsidR="004075B2" w:rsidRPr="004075B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（CC-</w:t>
            </w:r>
            <w:r w:rsidR="00C00065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27010</w:t>
            </w:r>
            <w:r w:rsidR="004075B2" w:rsidRPr="004075B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）</w:t>
            </w:r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（</w:t>
            </w:r>
            <w:r w:rsidR="00C00065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二</w:t>
            </w:r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）</w:t>
            </w:r>
            <w:r w:rsidR="00C00065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6.</w:t>
            </w:r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之規定，新增</w:t>
            </w:r>
            <w:r w:rsidR="006555AD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期貨業</w:t>
            </w:r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應每半年檢視DMZ區之防火牆規則，及每年定期檢視</w:t>
            </w:r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lastRenderedPageBreak/>
              <w:t>並維護防火牆存取控管設定。</w:t>
            </w:r>
          </w:p>
          <w:p w:rsidR="00E01A7E" w:rsidRDefault="009C77B4" w:rsidP="009C77B4">
            <w:pPr>
              <w:ind w:left="480" w:hangingChars="200" w:hanging="480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二、修正本條第二款第三目，配合期交所113年4月19日台期</w:t>
            </w:r>
            <w:proofErr w:type="gramStart"/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規</w:t>
            </w:r>
            <w:proofErr w:type="gramEnd"/>
            <w:r w:rsidRPr="009C77B4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字第1130001018號函修正「證券暨期貨市場各服務事業網路安全防護參考指引」第五條第三款之規定，</w:t>
            </w:r>
            <w:r w:rsidR="00706E2A" w:rsidRPr="00706E2A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由外部網路到內部網路之存取控制，增訂僅限於組織人員公務用或資訊服務供應商申請核准後使用。</w:t>
            </w:r>
          </w:p>
          <w:p w:rsidR="00C93680" w:rsidRPr="00C93680" w:rsidRDefault="00C93680" w:rsidP="00C93680">
            <w:pPr>
              <w:ind w:left="480" w:hangingChars="200" w:hanging="480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C93680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三、新增本條第三款第一</w:t>
            </w:r>
            <w:r w:rsidR="006459D1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目</w:t>
            </w:r>
            <w:r w:rsidRPr="00C93680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，配合前開期交所修正網路安全防護參考指引第七條第一款之規定，將無線網路區分為內、外部網路進行管理，新增第一款有關內部無線網路之管理、使用者及申請使用方式。</w:t>
            </w:r>
          </w:p>
          <w:p w:rsidR="00C93680" w:rsidRPr="00C93680" w:rsidRDefault="00C93680" w:rsidP="00C93680">
            <w:pPr>
              <w:ind w:left="480" w:hangingChars="200" w:hanging="480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C93680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四、</w:t>
            </w:r>
            <w:r w:rsidR="006555AD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以下項次配合調整。</w:t>
            </w:r>
          </w:p>
          <w:p w:rsidR="00C93680" w:rsidRPr="00C93680" w:rsidRDefault="00C93680" w:rsidP="00C93680">
            <w:pPr>
              <w:ind w:left="480" w:hangingChars="200" w:hanging="480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C93680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五、修正本條第三款第二目，參照前開期交所修正網路安全防護參考指引第七條第二款之規定，規範外部無線網路之存取保護方式。</w:t>
            </w:r>
          </w:p>
          <w:p w:rsidR="00373FF6" w:rsidRPr="00706E2A" w:rsidRDefault="00C93680" w:rsidP="0085629D">
            <w:pPr>
              <w:ind w:left="480" w:hangingChars="200" w:hanging="480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C93680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六、修正本條第三款第四目，參照前開期交所修正網路安全防護參考指引第八條第一項之規定，如允許內/外部人員使用外部設備存取內部網路，修訂</w:t>
            </w:r>
            <w:r w:rsidRPr="00C93680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lastRenderedPageBreak/>
              <w:t>為「內人員或資訊服務供應商」。</w:t>
            </w:r>
          </w:p>
        </w:tc>
      </w:tr>
      <w:tr w:rsidR="00706E2A" w:rsidRPr="00E01A7E" w:rsidTr="00E37B8A">
        <w:trPr>
          <w:jc w:val="center"/>
        </w:trPr>
        <w:tc>
          <w:tcPr>
            <w:tcW w:w="3964" w:type="dxa"/>
          </w:tcPr>
          <w:p w:rsidR="00706E2A" w:rsidRDefault="0061746C" w:rsidP="00E01A7E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61746C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lastRenderedPageBreak/>
              <w:t>第四條 網路設備安全管理</w:t>
            </w:r>
          </w:p>
          <w:p w:rsidR="0061746C" w:rsidRPr="0061746C" w:rsidRDefault="0061746C" w:rsidP="0061746C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61746C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四、網路設備委外</w:t>
            </w:r>
          </w:p>
          <w:p w:rsidR="0061746C" w:rsidRPr="00E01A7E" w:rsidRDefault="0061746C" w:rsidP="002A6272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61746C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 xml:space="preserve">    期貨業所有網路設備若委由</w:t>
            </w:r>
            <w:r w:rsidRPr="0061746C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資訊服務供應</w:t>
            </w:r>
            <w:r w:rsidRPr="0061746C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商維運或管理應依「本公會</w:t>
            </w:r>
            <w:r w:rsidR="00850A6C" w:rsidRPr="00850A6C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期貨業</w:t>
            </w:r>
            <w:r w:rsidR="00C93680" w:rsidRPr="00C93680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資通系統與服務</w:t>
            </w:r>
            <w:r w:rsidRPr="0061746C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供應鏈風險管理自律規範」。</w:t>
            </w:r>
          </w:p>
        </w:tc>
        <w:tc>
          <w:tcPr>
            <w:tcW w:w="3828" w:type="dxa"/>
          </w:tcPr>
          <w:p w:rsidR="00706E2A" w:rsidRDefault="0061746C" w:rsidP="00C34A75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61746C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第四條 網路設備安全管理</w:t>
            </w:r>
          </w:p>
          <w:p w:rsidR="0061746C" w:rsidRPr="0061746C" w:rsidRDefault="0061746C" w:rsidP="0061746C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61746C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四、網路設備委外</w:t>
            </w:r>
          </w:p>
          <w:p w:rsidR="0061746C" w:rsidRPr="0061746C" w:rsidRDefault="0061746C" w:rsidP="0061746C">
            <w:pPr>
              <w:spacing w:line="340" w:lineRule="exact"/>
              <w:ind w:left="480" w:hangingChars="200" w:hanging="480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61746C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 xml:space="preserve">    期貨業所有網路設備若委由</w:t>
            </w:r>
            <w:r w:rsidRPr="00D315A3">
              <w:rPr>
                <w:rFonts w:ascii="標楷體" w:eastAsia="標楷體" w:hAnsi="標楷體" w:cs="Times New Roman" w:hint="eastAsia"/>
                <w:color w:val="FF0000"/>
                <w:szCs w:val="24"/>
                <w:u w:val="single"/>
              </w:rPr>
              <w:t>外部廠</w:t>
            </w:r>
            <w:r w:rsidRPr="0061746C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商維運或管理應依「本公會供應鏈風險管理自律規範」。</w:t>
            </w:r>
          </w:p>
        </w:tc>
        <w:tc>
          <w:tcPr>
            <w:tcW w:w="2976" w:type="dxa"/>
          </w:tcPr>
          <w:p w:rsidR="0061746C" w:rsidRDefault="00C93680" w:rsidP="00C93680">
            <w:pPr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C93680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修正本條第四</w:t>
            </w:r>
            <w:r w:rsidR="0085629D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款</w:t>
            </w:r>
            <w:r w:rsidRPr="00C93680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，參照前開期交所修正網路安全防護參考指引第十二條第一項之規定，將外部廠商修訂為資訊服務供應商，</w:t>
            </w:r>
            <w:proofErr w:type="gramStart"/>
            <w:r w:rsidRPr="00C93680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其維運</w:t>
            </w:r>
            <w:proofErr w:type="gramEnd"/>
            <w:r w:rsidRPr="00C93680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及管理應依本公會「</w:t>
            </w:r>
            <w:r w:rsidR="004C7F56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期貨</w:t>
            </w:r>
            <w:r w:rsidR="00AA3B8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業</w:t>
            </w:r>
            <w:r w:rsidRPr="00C93680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資通系統與服務供應鏈風險管理自律規範」。</w:t>
            </w:r>
          </w:p>
        </w:tc>
      </w:tr>
    </w:tbl>
    <w:p w:rsidR="002500E4" w:rsidRPr="00E01A7E" w:rsidRDefault="002500E4" w:rsidP="00FD6C79">
      <w:pPr>
        <w:spacing w:line="340" w:lineRule="exact"/>
        <w:jc w:val="both"/>
        <w:rPr>
          <w:rFonts w:ascii="標楷體" w:eastAsia="標楷體" w:hAnsi="標楷體" w:cs="Times New Roman"/>
          <w:color w:val="000000" w:themeColor="text1"/>
          <w:szCs w:val="24"/>
        </w:rPr>
      </w:pPr>
    </w:p>
    <w:sectPr w:rsidR="002500E4" w:rsidRPr="00E01A7E" w:rsidSect="004B5A08">
      <w:footerReference w:type="default" r:id="rId8"/>
      <w:pgSz w:w="11906" w:h="16838"/>
      <w:pgMar w:top="737" w:right="720" w:bottom="720" w:left="737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586E" w:rsidRDefault="0056586E" w:rsidP="005C0DC9">
      <w:r>
        <w:separator/>
      </w:r>
    </w:p>
  </w:endnote>
  <w:endnote w:type="continuationSeparator" w:id="0">
    <w:p w:rsidR="0056586E" w:rsidRDefault="0056586E" w:rsidP="005C0D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13AC" w:rsidRPr="00946909" w:rsidRDefault="008C13AC" w:rsidP="008C13AC">
    <w:pPr>
      <w:pStyle w:val="a7"/>
      <w:jc w:val="center"/>
      <w:rPr>
        <w:rFonts w:ascii="標楷體" w:eastAsia="標楷體" w:hAnsi="標楷體"/>
      </w:rPr>
    </w:pPr>
    <w:r w:rsidRPr="008C13AC">
      <w:t xml:space="preserve"> </w:t>
    </w:r>
    <w:sdt>
      <w:sdtPr>
        <w:id w:val="98381352"/>
        <w:docPartObj>
          <w:docPartGallery w:val="Page Numbers (Top of Page)"/>
          <w:docPartUnique/>
        </w:docPartObj>
      </w:sdtPr>
      <w:sdtEndPr>
        <w:rPr>
          <w:rFonts w:ascii="標楷體" w:eastAsia="標楷體" w:hAnsi="標楷體"/>
        </w:rPr>
      </w:sdtEndPr>
      <w:sdtContent>
        <w:r w:rsidRPr="00946909">
          <w:rPr>
            <w:rFonts w:ascii="標楷體" w:eastAsia="標楷體" w:hAnsi="標楷體" w:hint="eastAsia"/>
          </w:rPr>
          <w:t>第</w:t>
        </w:r>
        <w:r w:rsidRPr="00946909">
          <w:rPr>
            <w:rFonts w:ascii="標楷體" w:eastAsia="標楷體" w:hAnsi="標楷體"/>
            <w:bCs/>
          </w:rPr>
          <w:fldChar w:fldCharType="begin"/>
        </w:r>
        <w:r w:rsidRPr="00946909">
          <w:rPr>
            <w:rFonts w:ascii="標楷體" w:eastAsia="標楷體" w:hAnsi="標楷體"/>
            <w:bCs/>
          </w:rPr>
          <w:instrText>PAGE</w:instrText>
        </w:r>
        <w:r w:rsidRPr="00946909">
          <w:rPr>
            <w:rFonts w:ascii="標楷體" w:eastAsia="標楷體" w:hAnsi="標楷體"/>
            <w:bCs/>
          </w:rPr>
          <w:fldChar w:fldCharType="separate"/>
        </w:r>
        <w:r w:rsidR="003F3BED">
          <w:rPr>
            <w:rFonts w:ascii="標楷體" w:eastAsia="標楷體" w:hAnsi="標楷體"/>
            <w:bCs/>
            <w:noProof/>
          </w:rPr>
          <w:t>3</w:t>
        </w:r>
        <w:r w:rsidRPr="00946909">
          <w:rPr>
            <w:rFonts w:ascii="標楷體" w:eastAsia="標楷體" w:hAnsi="標楷體"/>
            <w:bCs/>
          </w:rPr>
          <w:fldChar w:fldCharType="end"/>
        </w:r>
        <w:r w:rsidRPr="00946909">
          <w:rPr>
            <w:rFonts w:ascii="標楷體" w:eastAsia="標楷體" w:hAnsi="標楷體" w:hint="eastAsia"/>
            <w:bCs/>
          </w:rPr>
          <w:t>頁、共</w:t>
        </w:r>
        <w:r w:rsidRPr="00946909">
          <w:rPr>
            <w:rFonts w:ascii="標楷體" w:eastAsia="標楷體" w:hAnsi="標楷體"/>
            <w:bCs/>
          </w:rPr>
          <w:fldChar w:fldCharType="begin"/>
        </w:r>
        <w:r w:rsidRPr="00946909">
          <w:rPr>
            <w:rFonts w:ascii="標楷體" w:eastAsia="標楷體" w:hAnsi="標楷體"/>
            <w:bCs/>
          </w:rPr>
          <w:instrText>NUMPAGES</w:instrText>
        </w:r>
        <w:r w:rsidRPr="00946909">
          <w:rPr>
            <w:rFonts w:ascii="標楷體" w:eastAsia="標楷體" w:hAnsi="標楷體"/>
            <w:bCs/>
          </w:rPr>
          <w:fldChar w:fldCharType="separate"/>
        </w:r>
        <w:r w:rsidR="003F3BED">
          <w:rPr>
            <w:rFonts w:ascii="標楷體" w:eastAsia="標楷體" w:hAnsi="標楷體"/>
            <w:bCs/>
            <w:noProof/>
          </w:rPr>
          <w:t>3</w:t>
        </w:r>
        <w:r w:rsidRPr="00946909">
          <w:rPr>
            <w:rFonts w:ascii="標楷體" w:eastAsia="標楷體" w:hAnsi="標楷體"/>
            <w:bCs/>
          </w:rPr>
          <w:fldChar w:fldCharType="end"/>
        </w:r>
        <w:r w:rsidRPr="00946909">
          <w:rPr>
            <w:rFonts w:ascii="標楷體" w:eastAsia="標楷體" w:hAnsi="標楷體" w:hint="eastAsia"/>
            <w:bCs/>
          </w:rPr>
          <w:t>頁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586E" w:rsidRDefault="0056586E" w:rsidP="005C0DC9">
      <w:r>
        <w:separator/>
      </w:r>
    </w:p>
  </w:footnote>
  <w:footnote w:type="continuationSeparator" w:id="0">
    <w:p w:rsidR="0056586E" w:rsidRDefault="0056586E" w:rsidP="005C0D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7434D"/>
    <w:multiLevelType w:val="hybridMultilevel"/>
    <w:tmpl w:val="3CB2D1C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5A77F8"/>
    <w:multiLevelType w:val="hybridMultilevel"/>
    <w:tmpl w:val="FCE6CF1E"/>
    <w:lvl w:ilvl="0" w:tplc="CAEE9086">
      <w:start w:val="1"/>
      <w:numFmt w:val="taiwaneseCountingThousand"/>
      <w:lvlText w:val="%1、"/>
      <w:lvlJc w:val="left"/>
      <w:pPr>
        <w:ind w:left="8091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33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881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929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977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1025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1073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1121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11691" w:hanging="480"/>
      </w:pPr>
      <w:rPr>
        <w:rFonts w:cs="Times New Roman"/>
      </w:rPr>
    </w:lvl>
  </w:abstractNum>
  <w:abstractNum w:abstractNumId="2" w15:restartNumberingAfterBreak="0">
    <w:nsid w:val="16E75A8A"/>
    <w:multiLevelType w:val="hybridMultilevel"/>
    <w:tmpl w:val="607C09B6"/>
    <w:lvl w:ilvl="0" w:tplc="A98872EC">
      <w:start w:val="1"/>
      <w:numFmt w:val="taiwaneseCountingThousand"/>
      <w:lvlText w:val="（%1）"/>
      <w:lvlJc w:val="left"/>
      <w:pPr>
        <w:ind w:left="1394" w:hanging="83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  <w:rPr>
        <w:rFonts w:cs="Times New Roman"/>
      </w:rPr>
    </w:lvl>
  </w:abstractNum>
  <w:abstractNum w:abstractNumId="3" w15:restartNumberingAfterBreak="0">
    <w:nsid w:val="22ED2676"/>
    <w:multiLevelType w:val="hybridMultilevel"/>
    <w:tmpl w:val="3CB2D1C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0A15EE1"/>
    <w:multiLevelType w:val="hybridMultilevel"/>
    <w:tmpl w:val="3CB2D1C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864D46"/>
    <w:multiLevelType w:val="hybridMultilevel"/>
    <w:tmpl w:val="FD5661C4"/>
    <w:lvl w:ilvl="0" w:tplc="30A6B50C">
      <w:start w:val="1"/>
      <w:numFmt w:val="taiwaneseCountingThousand"/>
      <w:lvlText w:val="（%1）"/>
      <w:lvlJc w:val="left"/>
      <w:pPr>
        <w:ind w:left="1486" w:hanging="933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9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7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5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3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1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9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73" w:hanging="480"/>
      </w:pPr>
      <w:rPr>
        <w:rFonts w:cs="Times New Roman"/>
      </w:rPr>
    </w:lvl>
  </w:abstractNum>
  <w:abstractNum w:abstractNumId="6" w15:restartNumberingAfterBreak="0">
    <w:nsid w:val="38A1392A"/>
    <w:multiLevelType w:val="hybridMultilevel"/>
    <w:tmpl w:val="A1BC1CF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9DB43AA"/>
    <w:multiLevelType w:val="hybridMultilevel"/>
    <w:tmpl w:val="027A768A"/>
    <w:lvl w:ilvl="0" w:tplc="6FFEE82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39150B7"/>
    <w:multiLevelType w:val="hybridMultilevel"/>
    <w:tmpl w:val="B106C010"/>
    <w:lvl w:ilvl="0" w:tplc="6FFEE82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 w15:restartNumberingAfterBreak="0">
    <w:nsid w:val="4B524C9C"/>
    <w:multiLevelType w:val="hybridMultilevel"/>
    <w:tmpl w:val="B106C010"/>
    <w:lvl w:ilvl="0" w:tplc="6FFEE82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 w15:restartNumberingAfterBreak="0">
    <w:nsid w:val="54021982"/>
    <w:multiLevelType w:val="hybridMultilevel"/>
    <w:tmpl w:val="3CB2D1C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7B215A2"/>
    <w:multiLevelType w:val="hybridMultilevel"/>
    <w:tmpl w:val="8C3426CA"/>
    <w:lvl w:ilvl="0" w:tplc="B9C2C7B8">
      <w:start w:val="1"/>
      <w:numFmt w:val="taiwaneseCountingThousand"/>
      <w:suff w:val="nothing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9A85A5E"/>
    <w:multiLevelType w:val="hybridMultilevel"/>
    <w:tmpl w:val="27ECE906"/>
    <w:lvl w:ilvl="0" w:tplc="87B0067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E2B6D01"/>
    <w:multiLevelType w:val="hybridMultilevel"/>
    <w:tmpl w:val="3CB2D1C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01E365B"/>
    <w:multiLevelType w:val="hybridMultilevel"/>
    <w:tmpl w:val="B106C010"/>
    <w:lvl w:ilvl="0" w:tplc="6FFEE82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63CA1583"/>
    <w:multiLevelType w:val="hybridMultilevel"/>
    <w:tmpl w:val="FD5661C4"/>
    <w:lvl w:ilvl="0" w:tplc="30A6B50C">
      <w:start w:val="1"/>
      <w:numFmt w:val="taiwaneseCountingThousand"/>
      <w:lvlText w:val="（%1）"/>
      <w:lvlJc w:val="left"/>
      <w:pPr>
        <w:ind w:left="1486" w:hanging="933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3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93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73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53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33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13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93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73" w:hanging="480"/>
      </w:pPr>
      <w:rPr>
        <w:rFonts w:cs="Times New Roman"/>
      </w:rPr>
    </w:lvl>
  </w:abstractNum>
  <w:abstractNum w:abstractNumId="16" w15:restartNumberingAfterBreak="0">
    <w:nsid w:val="64170F39"/>
    <w:multiLevelType w:val="hybridMultilevel"/>
    <w:tmpl w:val="E7647A54"/>
    <w:lvl w:ilvl="0" w:tplc="25243C8A">
      <w:start w:val="1"/>
      <w:numFmt w:val="taiwaneseCountingThousand"/>
      <w:suff w:val="nothing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88D24DE"/>
    <w:multiLevelType w:val="hybridMultilevel"/>
    <w:tmpl w:val="30966E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3FE33D9"/>
    <w:multiLevelType w:val="hybridMultilevel"/>
    <w:tmpl w:val="92820F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40B2B3F"/>
    <w:multiLevelType w:val="hybridMultilevel"/>
    <w:tmpl w:val="6C321582"/>
    <w:lvl w:ilvl="0" w:tplc="8FAA0BF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7030A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5AF7A6F"/>
    <w:multiLevelType w:val="hybridMultilevel"/>
    <w:tmpl w:val="3CB2D1C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78354960"/>
    <w:multiLevelType w:val="hybridMultilevel"/>
    <w:tmpl w:val="4518217E"/>
    <w:lvl w:ilvl="0" w:tplc="E01AEB60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 w15:restartNumberingAfterBreak="0">
    <w:nsid w:val="7905194B"/>
    <w:multiLevelType w:val="hybridMultilevel"/>
    <w:tmpl w:val="E5F8FCFA"/>
    <w:lvl w:ilvl="0" w:tplc="52782FF2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3" w15:restartNumberingAfterBreak="0">
    <w:nsid w:val="7F3F603A"/>
    <w:multiLevelType w:val="hybridMultilevel"/>
    <w:tmpl w:val="8C3426CA"/>
    <w:lvl w:ilvl="0" w:tplc="B9C2C7B8">
      <w:start w:val="1"/>
      <w:numFmt w:val="taiwaneseCountingThousand"/>
      <w:suff w:val="nothing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22"/>
  </w:num>
  <w:num w:numId="3">
    <w:abstractNumId w:val="21"/>
  </w:num>
  <w:num w:numId="4">
    <w:abstractNumId w:val="1"/>
  </w:num>
  <w:num w:numId="5">
    <w:abstractNumId w:val="2"/>
  </w:num>
  <w:num w:numId="6">
    <w:abstractNumId w:val="5"/>
  </w:num>
  <w:num w:numId="7">
    <w:abstractNumId w:val="15"/>
  </w:num>
  <w:num w:numId="8">
    <w:abstractNumId w:val="8"/>
  </w:num>
  <w:num w:numId="9">
    <w:abstractNumId w:val="9"/>
  </w:num>
  <w:num w:numId="10">
    <w:abstractNumId w:val="17"/>
  </w:num>
  <w:num w:numId="11">
    <w:abstractNumId w:val="12"/>
  </w:num>
  <w:num w:numId="12">
    <w:abstractNumId w:val="18"/>
  </w:num>
  <w:num w:numId="13">
    <w:abstractNumId w:val="7"/>
  </w:num>
  <w:num w:numId="14">
    <w:abstractNumId w:val="6"/>
  </w:num>
  <w:num w:numId="15">
    <w:abstractNumId w:val="19"/>
  </w:num>
  <w:num w:numId="16">
    <w:abstractNumId w:val="16"/>
  </w:num>
  <w:num w:numId="17">
    <w:abstractNumId w:val="11"/>
  </w:num>
  <w:num w:numId="18">
    <w:abstractNumId w:val="23"/>
  </w:num>
  <w:num w:numId="19">
    <w:abstractNumId w:val="20"/>
  </w:num>
  <w:num w:numId="20">
    <w:abstractNumId w:val="10"/>
  </w:num>
  <w:num w:numId="21">
    <w:abstractNumId w:val="13"/>
  </w:num>
  <w:num w:numId="22">
    <w:abstractNumId w:val="4"/>
  </w:num>
  <w:num w:numId="23">
    <w:abstractNumId w:val="0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54C"/>
    <w:rsid w:val="00020670"/>
    <w:rsid w:val="00037546"/>
    <w:rsid w:val="0004452F"/>
    <w:rsid w:val="00052ED9"/>
    <w:rsid w:val="000729E2"/>
    <w:rsid w:val="00076DC8"/>
    <w:rsid w:val="000D708F"/>
    <w:rsid w:val="0010146C"/>
    <w:rsid w:val="001137C1"/>
    <w:rsid w:val="00131C2D"/>
    <w:rsid w:val="0013720A"/>
    <w:rsid w:val="001535AD"/>
    <w:rsid w:val="0019789A"/>
    <w:rsid w:val="001B4A8A"/>
    <w:rsid w:val="001B691F"/>
    <w:rsid w:val="001C3D2A"/>
    <w:rsid w:val="001D2180"/>
    <w:rsid w:val="001E0DDF"/>
    <w:rsid w:val="001E1189"/>
    <w:rsid w:val="001E5A09"/>
    <w:rsid w:val="001F6A57"/>
    <w:rsid w:val="001F7A0F"/>
    <w:rsid w:val="00201A15"/>
    <w:rsid w:val="00204C9A"/>
    <w:rsid w:val="00230C3B"/>
    <w:rsid w:val="002500E4"/>
    <w:rsid w:val="00255584"/>
    <w:rsid w:val="00257742"/>
    <w:rsid w:val="00282B63"/>
    <w:rsid w:val="0029349C"/>
    <w:rsid w:val="002A164C"/>
    <w:rsid w:val="002A6272"/>
    <w:rsid w:val="002E27D9"/>
    <w:rsid w:val="002E34D1"/>
    <w:rsid w:val="002E5BD3"/>
    <w:rsid w:val="002E5FF5"/>
    <w:rsid w:val="00302857"/>
    <w:rsid w:val="0031573C"/>
    <w:rsid w:val="00327130"/>
    <w:rsid w:val="00332870"/>
    <w:rsid w:val="00356A72"/>
    <w:rsid w:val="00373FF6"/>
    <w:rsid w:val="00375A37"/>
    <w:rsid w:val="003D6891"/>
    <w:rsid w:val="003E7C5F"/>
    <w:rsid w:val="003F3BED"/>
    <w:rsid w:val="003F6A2A"/>
    <w:rsid w:val="004075B2"/>
    <w:rsid w:val="0041705F"/>
    <w:rsid w:val="0043335D"/>
    <w:rsid w:val="00433846"/>
    <w:rsid w:val="00436E0E"/>
    <w:rsid w:val="00452788"/>
    <w:rsid w:val="00461BA8"/>
    <w:rsid w:val="00464609"/>
    <w:rsid w:val="00464675"/>
    <w:rsid w:val="00485680"/>
    <w:rsid w:val="0049717E"/>
    <w:rsid w:val="004B5A08"/>
    <w:rsid w:val="004C7F56"/>
    <w:rsid w:val="004F7413"/>
    <w:rsid w:val="00532B3A"/>
    <w:rsid w:val="00537982"/>
    <w:rsid w:val="005459E6"/>
    <w:rsid w:val="0056586E"/>
    <w:rsid w:val="00584E96"/>
    <w:rsid w:val="0058766B"/>
    <w:rsid w:val="00590FDA"/>
    <w:rsid w:val="00591F08"/>
    <w:rsid w:val="005A5ACB"/>
    <w:rsid w:val="005C0DC9"/>
    <w:rsid w:val="005C21C0"/>
    <w:rsid w:val="005D3DD6"/>
    <w:rsid w:val="005E7466"/>
    <w:rsid w:val="005F354C"/>
    <w:rsid w:val="00601C57"/>
    <w:rsid w:val="0061746C"/>
    <w:rsid w:val="00620AD2"/>
    <w:rsid w:val="006459D1"/>
    <w:rsid w:val="006555AD"/>
    <w:rsid w:val="00660F2E"/>
    <w:rsid w:val="00683270"/>
    <w:rsid w:val="00686143"/>
    <w:rsid w:val="00687432"/>
    <w:rsid w:val="00697491"/>
    <w:rsid w:val="006A54DB"/>
    <w:rsid w:val="006C45C9"/>
    <w:rsid w:val="006C6FBE"/>
    <w:rsid w:val="006C78E7"/>
    <w:rsid w:val="006F0C0F"/>
    <w:rsid w:val="00702A32"/>
    <w:rsid w:val="00706E2A"/>
    <w:rsid w:val="00753E6F"/>
    <w:rsid w:val="00754232"/>
    <w:rsid w:val="00763D77"/>
    <w:rsid w:val="00764412"/>
    <w:rsid w:val="007715FC"/>
    <w:rsid w:val="00774836"/>
    <w:rsid w:val="00786D25"/>
    <w:rsid w:val="0079659D"/>
    <w:rsid w:val="00796FC7"/>
    <w:rsid w:val="007A3E5C"/>
    <w:rsid w:val="007C011E"/>
    <w:rsid w:val="0080618D"/>
    <w:rsid w:val="00815D89"/>
    <w:rsid w:val="00850A6C"/>
    <w:rsid w:val="008551D6"/>
    <w:rsid w:val="0085629D"/>
    <w:rsid w:val="00882B3F"/>
    <w:rsid w:val="00887DD2"/>
    <w:rsid w:val="008A0DD3"/>
    <w:rsid w:val="008B69DC"/>
    <w:rsid w:val="008C13AC"/>
    <w:rsid w:val="008C596E"/>
    <w:rsid w:val="008E2782"/>
    <w:rsid w:val="008F09D7"/>
    <w:rsid w:val="0091001F"/>
    <w:rsid w:val="009167B0"/>
    <w:rsid w:val="009219B3"/>
    <w:rsid w:val="00922D93"/>
    <w:rsid w:val="009256A8"/>
    <w:rsid w:val="009453ED"/>
    <w:rsid w:val="00947E3D"/>
    <w:rsid w:val="00960945"/>
    <w:rsid w:val="00986408"/>
    <w:rsid w:val="00993D34"/>
    <w:rsid w:val="009A0A16"/>
    <w:rsid w:val="009C5081"/>
    <w:rsid w:val="009C77B4"/>
    <w:rsid w:val="009D0F91"/>
    <w:rsid w:val="009D51DC"/>
    <w:rsid w:val="009F5D9E"/>
    <w:rsid w:val="00A13ACE"/>
    <w:rsid w:val="00A16A5D"/>
    <w:rsid w:val="00A37206"/>
    <w:rsid w:val="00A604E1"/>
    <w:rsid w:val="00A913EC"/>
    <w:rsid w:val="00A94780"/>
    <w:rsid w:val="00AA3B82"/>
    <w:rsid w:val="00AB3D0B"/>
    <w:rsid w:val="00AC62E7"/>
    <w:rsid w:val="00AD17BE"/>
    <w:rsid w:val="00AD27B9"/>
    <w:rsid w:val="00AD28C6"/>
    <w:rsid w:val="00AD35E1"/>
    <w:rsid w:val="00AD3FD4"/>
    <w:rsid w:val="00AD76F2"/>
    <w:rsid w:val="00AE3124"/>
    <w:rsid w:val="00B041B5"/>
    <w:rsid w:val="00B260DD"/>
    <w:rsid w:val="00B519B3"/>
    <w:rsid w:val="00B902E1"/>
    <w:rsid w:val="00BA20E4"/>
    <w:rsid w:val="00BD4EBB"/>
    <w:rsid w:val="00C00065"/>
    <w:rsid w:val="00C001B2"/>
    <w:rsid w:val="00C02FD8"/>
    <w:rsid w:val="00C04D38"/>
    <w:rsid w:val="00C06B6E"/>
    <w:rsid w:val="00C3325E"/>
    <w:rsid w:val="00C34A75"/>
    <w:rsid w:val="00C3595C"/>
    <w:rsid w:val="00C43A7F"/>
    <w:rsid w:val="00C46351"/>
    <w:rsid w:val="00C55D92"/>
    <w:rsid w:val="00C578B2"/>
    <w:rsid w:val="00C57F5C"/>
    <w:rsid w:val="00C6416E"/>
    <w:rsid w:val="00C67F32"/>
    <w:rsid w:val="00C86294"/>
    <w:rsid w:val="00C87E4B"/>
    <w:rsid w:val="00C93680"/>
    <w:rsid w:val="00CA1E55"/>
    <w:rsid w:val="00CA7F6D"/>
    <w:rsid w:val="00CB2C4E"/>
    <w:rsid w:val="00CC561F"/>
    <w:rsid w:val="00CC6F49"/>
    <w:rsid w:val="00CD087D"/>
    <w:rsid w:val="00CE693C"/>
    <w:rsid w:val="00CE6E0F"/>
    <w:rsid w:val="00CF7F35"/>
    <w:rsid w:val="00D05567"/>
    <w:rsid w:val="00D14CD6"/>
    <w:rsid w:val="00D17CDD"/>
    <w:rsid w:val="00D315A3"/>
    <w:rsid w:val="00D319BB"/>
    <w:rsid w:val="00D37F84"/>
    <w:rsid w:val="00D56927"/>
    <w:rsid w:val="00D5758C"/>
    <w:rsid w:val="00D640ED"/>
    <w:rsid w:val="00D8376C"/>
    <w:rsid w:val="00D978E4"/>
    <w:rsid w:val="00DA5CF4"/>
    <w:rsid w:val="00DB1997"/>
    <w:rsid w:val="00DF2044"/>
    <w:rsid w:val="00DF445B"/>
    <w:rsid w:val="00E01A7E"/>
    <w:rsid w:val="00E122FB"/>
    <w:rsid w:val="00E12495"/>
    <w:rsid w:val="00E12A87"/>
    <w:rsid w:val="00E35C60"/>
    <w:rsid w:val="00E37B8A"/>
    <w:rsid w:val="00E4595C"/>
    <w:rsid w:val="00E76A1B"/>
    <w:rsid w:val="00E852C9"/>
    <w:rsid w:val="00E905EE"/>
    <w:rsid w:val="00EB31D9"/>
    <w:rsid w:val="00ED2444"/>
    <w:rsid w:val="00EF7947"/>
    <w:rsid w:val="00F04DBB"/>
    <w:rsid w:val="00F136F3"/>
    <w:rsid w:val="00F20226"/>
    <w:rsid w:val="00F22103"/>
    <w:rsid w:val="00F2583D"/>
    <w:rsid w:val="00F27711"/>
    <w:rsid w:val="00F27B5A"/>
    <w:rsid w:val="00F85A21"/>
    <w:rsid w:val="00FB02EA"/>
    <w:rsid w:val="00FC1F68"/>
    <w:rsid w:val="00FD249E"/>
    <w:rsid w:val="00FD6C79"/>
    <w:rsid w:val="00FF6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4756174-2B4E-43E6-A09D-57D50F6C8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05E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F35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5F354C"/>
    <w:pPr>
      <w:autoSpaceDE w:val="0"/>
      <w:autoSpaceDN w:val="0"/>
    </w:pPr>
    <w:rPr>
      <w:rFonts w:ascii="新細明體" w:eastAsia="新細明體" w:hAnsi="新細明體" w:cs="新細明體"/>
      <w:kern w:val="0"/>
      <w:sz w:val="22"/>
    </w:rPr>
  </w:style>
  <w:style w:type="paragraph" w:styleId="a4">
    <w:name w:val="List Paragraph"/>
    <w:basedOn w:val="a"/>
    <w:uiPriority w:val="99"/>
    <w:qFormat/>
    <w:rsid w:val="000D708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5C0D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C0DC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C0DC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C0DC9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6F0C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F0C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94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73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8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818F3-651A-4CF9-BA84-932CBA206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</Pages>
  <Words>363</Words>
  <Characters>2073</Characters>
  <Application>Microsoft Office Word</Application>
  <DocSecurity>0</DocSecurity>
  <Lines>17</Lines>
  <Paragraphs>4</Paragraphs>
  <ScaleCrop>false</ScaleCrop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陳明如</dc:creator>
  <cp:keywords/>
  <dc:description/>
  <cp:lastModifiedBy>陳明如</cp:lastModifiedBy>
  <cp:revision>56</cp:revision>
  <cp:lastPrinted>2024-09-04T08:48:00Z</cp:lastPrinted>
  <dcterms:created xsi:type="dcterms:W3CDTF">2023-05-23T09:07:00Z</dcterms:created>
  <dcterms:modified xsi:type="dcterms:W3CDTF">2024-12-31T00:42:00Z</dcterms:modified>
</cp:coreProperties>
</file>