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592" w:rsidRDefault="00692FD9" w:rsidP="00692FD9">
      <w:pPr>
        <w:widowControl/>
        <w:spacing w:line="500" w:lineRule="exact"/>
        <w:jc w:val="center"/>
        <w:rPr>
          <w:rFonts w:ascii="標楷體" w:eastAsia="標楷體" w:hAnsi="標楷體" w:cs="Arial"/>
          <w:b/>
          <w:spacing w:val="-6"/>
          <w:w w:val="90"/>
          <w:sz w:val="32"/>
          <w:szCs w:val="32"/>
        </w:rPr>
      </w:pPr>
      <w:r w:rsidRPr="00546535">
        <w:rPr>
          <w:rFonts w:ascii="標楷體" w:eastAsia="標楷體" w:hAnsi="標楷體" w:cs="Arial" w:hint="eastAsia"/>
          <w:b/>
          <w:spacing w:val="-6"/>
          <w:w w:val="90"/>
          <w:sz w:val="32"/>
          <w:szCs w:val="32"/>
        </w:rPr>
        <w:t>中華民國期貨業商業同業公會</w:t>
      </w:r>
    </w:p>
    <w:p w:rsidR="00692FD9" w:rsidRPr="00546535" w:rsidRDefault="00692FD9" w:rsidP="00692FD9">
      <w:pPr>
        <w:widowControl/>
        <w:spacing w:line="500" w:lineRule="exact"/>
        <w:jc w:val="center"/>
        <w:rPr>
          <w:rFonts w:ascii="標楷體" w:eastAsia="標楷體" w:hAnsi="標楷體" w:cs="Arial"/>
          <w:b/>
          <w:spacing w:val="-6"/>
          <w:w w:val="90"/>
          <w:sz w:val="32"/>
          <w:szCs w:val="32"/>
        </w:rPr>
      </w:pPr>
      <w:r w:rsidRPr="00546535">
        <w:rPr>
          <w:rFonts w:ascii="標楷體" w:eastAsia="標楷體" w:hAnsi="標楷體" w:cs="Arial" w:hint="eastAsia"/>
          <w:b/>
          <w:spacing w:val="-6"/>
          <w:w w:val="90"/>
          <w:sz w:val="32"/>
          <w:szCs w:val="32"/>
        </w:rPr>
        <w:t>會員與第三方服務提供者合作開放證券公開資料查詢及使用自律規範</w:t>
      </w:r>
    </w:p>
    <w:p w:rsidR="003A36B3" w:rsidRDefault="003A36B3" w:rsidP="003A36B3">
      <w:pPr>
        <w:spacing w:line="400" w:lineRule="exact"/>
        <w:ind w:leftChars="-118" w:left="1" w:rightChars="57" w:right="137" w:hangingChars="142" w:hanging="284"/>
        <w:jc w:val="right"/>
        <w:rPr>
          <w:rFonts w:ascii="標楷體" w:eastAsia="標楷體" w:hAnsi="標楷體"/>
          <w:sz w:val="20"/>
          <w:szCs w:val="20"/>
        </w:rPr>
      </w:pPr>
    </w:p>
    <w:p w:rsidR="003A36B3" w:rsidRPr="003A36B3" w:rsidRDefault="003A36B3" w:rsidP="003A36B3">
      <w:pPr>
        <w:spacing w:line="400" w:lineRule="exact"/>
        <w:ind w:leftChars="-118" w:left="1" w:rightChars="57" w:right="137" w:hangingChars="142" w:hanging="284"/>
        <w:jc w:val="right"/>
        <w:rPr>
          <w:rFonts w:ascii="標楷體" w:eastAsia="標楷體" w:hAnsi="標楷體"/>
          <w:sz w:val="20"/>
          <w:szCs w:val="20"/>
        </w:rPr>
      </w:pPr>
      <w:r w:rsidRPr="003A36B3">
        <w:rPr>
          <w:rFonts w:ascii="標楷體" w:eastAsia="標楷體" w:hAnsi="標楷體"/>
          <w:sz w:val="20"/>
          <w:szCs w:val="20"/>
        </w:rPr>
        <w:t>中華民國111年</w:t>
      </w:r>
      <w:r w:rsidR="00DB2FF7">
        <w:rPr>
          <w:rFonts w:ascii="標楷體" w:eastAsia="標楷體" w:hAnsi="標楷體" w:hint="eastAsia"/>
          <w:sz w:val="20"/>
          <w:szCs w:val="20"/>
        </w:rPr>
        <w:t>6</w:t>
      </w:r>
      <w:r w:rsidRPr="003A36B3">
        <w:rPr>
          <w:rFonts w:ascii="標楷體" w:eastAsia="標楷體" w:hAnsi="標楷體"/>
          <w:sz w:val="20"/>
          <w:szCs w:val="20"/>
        </w:rPr>
        <w:t>月</w:t>
      </w:r>
      <w:r w:rsidR="00DB2FF7">
        <w:rPr>
          <w:rFonts w:ascii="標楷體" w:eastAsia="標楷體" w:hAnsi="標楷體" w:hint="eastAsia"/>
          <w:sz w:val="20"/>
          <w:szCs w:val="20"/>
        </w:rPr>
        <w:t>1</w:t>
      </w:r>
      <w:r w:rsidR="00DB2FF7">
        <w:rPr>
          <w:rFonts w:ascii="標楷體" w:eastAsia="標楷體" w:hAnsi="標楷體"/>
          <w:sz w:val="20"/>
          <w:szCs w:val="20"/>
        </w:rPr>
        <w:t>0</w:t>
      </w:r>
      <w:r w:rsidRPr="003A36B3">
        <w:rPr>
          <w:rFonts w:ascii="標楷體" w:eastAsia="標楷體" w:hAnsi="標楷體"/>
          <w:sz w:val="20"/>
          <w:szCs w:val="20"/>
        </w:rPr>
        <w:t>日中華民國期貨業商業同業公會</w:t>
      </w:r>
    </w:p>
    <w:p w:rsidR="003A36B3" w:rsidRPr="003A36B3" w:rsidRDefault="003A36B3" w:rsidP="003A36B3">
      <w:pPr>
        <w:spacing w:line="400" w:lineRule="exact"/>
        <w:ind w:leftChars="-118" w:left="1" w:rightChars="57" w:right="137" w:hangingChars="142" w:hanging="284"/>
        <w:jc w:val="right"/>
        <w:rPr>
          <w:rFonts w:ascii="標楷體" w:eastAsia="標楷體" w:hAnsi="標楷體"/>
          <w:sz w:val="20"/>
          <w:szCs w:val="20"/>
        </w:rPr>
      </w:pPr>
      <w:r w:rsidRPr="003A36B3">
        <w:rPr>
          <w:rFonts w:ascii="標楷體" w:eastAsia="標楷體" w:hAnsi="標楷體"/>
          <w:sz w:val="20"/>
          <w:szCs w:val="20"/>
        </w:rPr>
        <w:t>第</w:t>
      </w:r>
      <w:r w:rsidR="00DB2FF7">
        <w:rPr>
          <w:rFonts w:ascii="標楷體" w:eastAsia="標楷體" w:hAnsi="標楷體"/>
          <w:sz w:val="20"/>
          <w:szCs w:val="20"/>
        </w:rPr>
        <w:t>6</w:t>
      </w:r>
      <w:r w:rsidRPr="003A36B3">
        <w:rPr>
          <w:rFonts w:ascii="標楷體" w:eastAsia="標楷體" w:hAnsi="標楷體"/>
          <w:sz w:val="20"/>
          <w:szCs w:val="20"/>
        </w:rPr>
        <w:t>屆理監事第1</w:t>
      </w:r>
      <w:r w:rsidR="00DB2FF7">
        <w:rPr>
          <w:rFonts w:ascii="標楷體" w:eastAsia="標楷體" w:hAnsi="標楷體"/>
          <w:sz w:val="20"/>
          <w:szCs w:val="20"/>
        </w:rPr>
        <w:t>8</w:t>
      </w:r>
      <w:r w:rsidRPr="003A36B3">
        <w:rPr>
          <w:rFonts w:ascii="標楷體" w:eastAsia="標楷體" w:hAnsi="標楷體"/>
          <w:sz w:val="20"/>
          <w:szCs w:val="20"/>
        </w:rPr>
        <w:t>次聯席會決議通過</w:t>
      </w:r>
    </w:p>
    <w:p w:rsidR="003A36B3" w:rsidRPr="003A36B3" w:rsidRDefault="003A36B3" w:rsidP="003A36B3">
      <w:pPr>
        <w:spacing w:line="400" w:lineRule="exact"/>
        <w:ind w:leftChars="-118" w:left="1" w:rightChars="57" w:right="137" w:hangingChars="142" w:hanging="284"/>
        <w:jc w:val="right"/>
        <w:rPr>
          <w:rFonts w:ascii="標楷體" w:eastAsia="標楷體" w:hAnsi="標楷體"/>
          <w:sz w:val="20"/>
          <w:szCs w:val="20"/>
        </w:rPr>
      </w:pPr>
      <w:r w:rsidRPr="003A36B3">
        <w:rPr>
          <w:rFonts w:ascii="標楷體" w:eastAsia="標楷體" w:hAnsi="標楷體"/>
          <w:sz w:val="20"/>
          <w:szCs w:val="20"/>
        </w:rPr>
        <w:t>中華民國111年</w:t>
      </w:r>
      <w:r w:rsidR="00DB2FF7">
        <w:rPr>
          <w:rFonts w:ascii="標楷體" w:eastAsia="標楷體" w:hAnsi="標楷體" w:hint="eastAsia"/>
          <w:sz w:val="20"/>
          <w:szCs w:val="20"/>
        </w:rPr>
        <w:t>1</w:t>
      </w:r>
      <w:r w:rsidR="00DB2FF7">
        <w:rPr>
          <w:rFonts w:ascii="標楷體" w:eastAsia="標楷體" w:hAnsi="標楷體"/>
          <w:sz w:val="20"/>
          <w:szCs w:val="20"/>
        </w:rPr>
        <w:t>1</w:t>
      </w:r>
      <w:r w:rsidRPr="003A36B3">
        <w:rPr>
          <w:rFonts w:ascii="標楷體" w:eastAsia="標楷體" w:hAnsi="標楷體"/>
          <w:sz w:val="20"/>
          <w:szCs w:val="20"/>
        </w:rPr>
        <w:t>月</w:t>
      </w:r>
      <w:r w:rsidR="00DB2FF7">
        <w:rPr>
          <w:rFonts w:ascii="標楷體" w:eastAsia="標楷體" w:hAnsi="標楷體" w:hint="eastAsia"/>
          <w:sz w:val="20"/>
          <w:szCs w:val="20"/>
        </w:rPr>
        <w:t>2</w:t>
      </w:r>
      <w:r w:rsidRPr="003A36B3">
        <w:rPr>
          <w:rFonts w:ascii="標楷體" w:eastAsia="標楷體" w:hAnsi="標楷體"/>
          <w:sz w:val="20"/>
          <w:szCs w:val="20"/>
        </w:rPr>
        <w:t>日金融監督管理委員會</w:t>
      </w:r>
    </w:p>
    <w:p w:rsidR="003A36B3" w:rsidRDefault="003A36B3" w:rsidP="003A36B3">
      <w:pPr>
        <w:spacing w:line="400" w:lineRule="exact"/>
        <w:ind w:leftChars="-118" w:left="1" w:rightChars="57" w:right="137" w:hangingChars="142" w:hanging="284"/>
        <w:jc w:val="right"/>
        <w:rPr>
          <w:rFonts w:ascii="標楷體" w:eastAsia="標楷體" w:hAnsi="標楷體"/>
          <w:sz w:val="20"/>
          <w:szCs w:val="20"/>
        </w:rPr>
      </w:pPr>
      <w:r w:rsidRPr="003A36B3">
        <w:rPr>
          <w:rFonts w:ascii="標楷體" w:eastAsia="標楷體" w:hAnsi="標楷體"/>
          <w:sz w:val="20"/>
          <w:szCs w:val="20"/>
        </w:rPr>
        <w:t>金管證期字第</w:t>
      </w:r>
      <w:r w:rsidR="00DB2FF7">
        <w:rPr>
          <w:rFonts w:ascii="標楷體" w:eastAsia="標楷體" w:hAnsi="標楷體" w:hint="eastAsia"/>
          <w:sz w:val="20"/>
          <w:szCs w:val="20"/>
        </w:rPr>
        <w:t>1</w:t>
      </w:r>
      <w:r w:rsidR="00DB2FF7">
        <w:rPr>
          <w:rFonts w:ascii="標楷體" w:eastAsia="標楷體" w:hAnsi="標楷體"/>
          <w:sz w:val="20"/>
          <w:szCs w:val="20"/>
        </w:rPr>
        <w:t>110348919</w:t>
      </w:r>
      <w:bookmarkStart w:id="0" w:name="_GoBack"/>
      <w:bookmarkEnd w:id="0"/>
      <w:r w:rsidRPr="003A36B3">
        <w:rPr>
          <w:rFonts w:ascii="標楷體" w:eastAsia="標楷體" w:hAnsi="標楷體"/>
          <w:sz w:val="20"/>
          <w:szCs w:val="20"/>
        </w:rPr>
        <w:t>號函同意備查</w:t>
      </w:r>
    </w:p>
    <w:p w:rsidR="00E8294E" w:rsidRPr="003A36B3" w:rsidRDefault="00E8294E" w:rsidP="003A36B3">
      <w:pPr>
        <w:spacing w:line="480" w:lineRule="exact"/>
        <w:ind w:leftChars="-118" w:left="-44" w:rightChars="57" w:right="137" w:hangingChars="142" w:hanging="239"/>
        <w:jc w:val="right"/>
        <w:rPr>
          <w:rFonts w:ascii="標楷體" w:eastAsia="標楷體" w:hAnsi="標楷體" w:cs="Arial"/>
          <w:b/>
          <w:spacing w:val="-6"/>
          <w:w w:val="90"/>
          <w:sz w:val="20"/>
          <w:szCs w:val="20"/>
        </w:rPr>
      </w:pPr>
    </w:p>
    <w:p w:rsidR="00E8294E" w:rsidRPr="00546535" w:rsidRDefault="00E8294E" w:rsidP="00300520">
      <w:pPr>
        <w:spacing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第一條（訂定目的）</w:t>
      </w:r>
    </w:p>
    <w:p w:rsidR="00102BCB" w:rsidRPr="00546535" w:rsidRDefault="00102BCB" w:rsidP="00300520">
      <w:pPr>
        <w:widowControl/>
        <w:spacing w:line="440" w:lineRule="exact"/>
        <w:ind w:left="709"/>
        <w:jc w:val="both"/>
        <w:rPr>
          <w:rFonts w:ascii="標楷體" w:eastAsia="標楷體" w:hAnsi="標楷體" w:cs="Arial"/>
          <w:sz w:val="28"/>
          <w:szCs w:val="28"/>
        </w:rPr>
      </w:pPr>
      <w:r w:rsidRPr="00546535">
        <w:rPr>
          <w:rFonts w:ascii="標楷體" w:eastAsia="標楷體" w:hAnsi="標楷體" w:hint="eastAsia"/>
          <w:sz w:val="28"/>
          <w:szCs w:val="28"/>
        </w:rPr>
        <w:t>中華民國期貨業商業同業公會（以下簡稱「本公會」）為使</w:t>
      </w:r>
      <w:r w:rsidRPr="00546535">
        <w:rPr>
          <w:rFonts w:ascii="標楷體" w:eastAsia="標楷體" w:hAnsi="標楷體"/>
          <w:sz w:val="28"/>
          <w:szCs w:val="28"/>
        </w:rPr>
        <w:t>本公</w:t>
      </w:r>
      <w:r w:rsidRPr="00546535">
        <w:rPr>
          <w:rFonts w:ascii="標楷體" w:eastAsia="標楷體" w:hAnsi="標楷體" w:hint="eastAsia"/>
          <w:sz w:val="28"/>
          <w:szCs w:val="28"/>
        </w:rPr>
        <w:t>會員公司與第三方服務提供者業務合作時，得以確保會員公司、使用者及第三方服務提供者之權益，特訂定本自律規範。</w:t>
      </w:r>
    </w:p>
    <w:p w:rsidR="00E8294E" w:rsidRPr="00546535" w:rsidRDefault="00E8294E"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第二條（規範原則）</w:t>
      </w:r>
    </w:p>
    <w:p w:rsidR="00BE5CC7" w:rsidRPr="00546535" w:rsidRDefault="00BE5CC7" w:rsidP="00BE5CC7">
      <w:pPr>
        <w:widowControl/>
        <w:spacing w:line="440" w:lineRule="exact"/>
        <w:ind w:left="709"/>
        <w:jc w:val="both"/>
        <w:rPr>
          <w:rFonts w:ascii="標楷體" w:eastAsia="標楷體" w:hAnsi="標楷體" w:cs="Arial"/>
          <w:sz w:val="28"/>
          <w:szCs w:val="28"/>
        </w:rPr>
      </w:pPr>
      <w:r w:rsidRPr="00546535">
        <w:rPr>
          <w:rFonts w:ascii="標楷體" w:eastAsia="標楷體" w:hAnsi="標楷體" w:cs="Arial" w:hint="eastAsia"/>
          <w:sz w:val="28"/>
          <w:szCs w:val="28"/>
        </w:rPr>
        <w:t>會員公司與第三方服務提供者進行相關業務合作時，除應遵循相關法令外，應依照本自律規範辦理。</w:t>
      </w:r>
    </w:p>
    <w:p w:rsidR="00BE5CC7" w:rsidRPr="00546535" w:rsidRDefault="00BE5CC7" w:rsidP="00BE5CC7">
      <w:pPr>
        <w:widowControl/>
        <w:spacing w:line="440" w:lineRule="exact"/>
        <w:ind w:left="709"/>
        <w:jc w:val="both"/>
        <w:rPr>
          <w:rFonts w:ascii="標楷體" w:eastAsia="標楷體" w:hAnsi="標楷體" w:cs="Arial"/>
          <w:sz w:val="28"/>
          <w:szCs w:val="28"/>
        </w:rPr>
      </w:pPr>
      <w:r w:rsidRPr="00546535">
        <w:rPr>
          <w:rFonts w:ascii="標楷體" w:eastAsia="標楷體" w:hAnsi="標楷體" w:hint="eastAsia"/>
          <w:sz w:val="28"/>
          <w:szCs w:val="28"/>
        </w:rPr>
        <w:t>本業務合作係指透過開放應用程式介面提供公開資料查詢及使用。</w:t>
      </w:r>
    </w:p>
    <w:p w:rsidR="00E8294E" w:rsidRPr="00546535" w:rsidRDefault="00E8294E"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第三條（名詞定義）</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本自律規範之名詞定義如下：</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一、第三方服務提供者：係指與會員公司簽署業務合作契約，透過開放應用程式介面取得會員公司公開資料的業者。</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二、</w:t>
      </w:r>
      <w:r w:rsidRPr="00546535">
        <w:rPr>
          <w:rFonts w:ascii="標楷體" w:eastAsia="標楷體" w:hAnsi="標楷體" w:cs="Arial" w:hint="eastAsia"/>
          <w:sz w:val="28"/>
          <w:szCs w:val="28"/>
        </w:rPr>
        <w:tab/>
        <w:t>使用者：接受會員公司或第三方服務提供者依業務合作契約所提供之金融產品或服務者。</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三、</w:t>
      </w:r>
      <w:r w:rsidRPr="00546535">
        <w:rPr>
          <w:rFonts w:ascii="標楷體" w:eastAsia="標楷體" w:hAnsi="標楷體" w:cs="Arial" w:hint="eastAsia"/>
          <w:sz w:val="28"/>
          <w:szCs w:val="28"/>
        </w:rPr>
        <w:tab/>
        <w:t>應用程式介面（Application Programming Interface，API）： 為「電腦作業系統（Operating system）」或「程式函式庫」開放提供給應用程式呼叫使用的程式碼。</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四、開放應用程式介面（OPEN API）：指依循國際通用W3C相關標準（如URI、HTTP等）所訂定之API。</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五、公開資料：係指使用者與會員公司進行相關業務交易以外之產品與服務公開資訊，且不涉及使用者個人資料。</w:t>
      </w:r>
    </w:p>
    <w:p w:rsidR="00E8294E" w:rsidRPr="00546535" w:rsidRDefault="00E8294E"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第四條（會員公司對合作之第三方服務提供者遴選原則）</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會員公司於選擇合作之第三方服務提供者時，應注意下列原則：</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lastRenderedPageBreak/>
        <w:t>一、第三方服務提供者應為合法登記之法人組織，且不得經營非法之營業項目。</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二、第三方服務提供者或其經營團隊應具備穩健經營之能力、適足之經驗及專業能力。</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三、第三方服務提供者應具備</w:t>
      </w:r>
      <w:r w:rsidR="00A17E8D" w:rsidRPr="00546535">
        <w:rPr>
          <w:rFonts w:ascii="標楷體" w:eastAsia="標楷體" w:hAnsi="標楷體" w:cs="Arial" w:hint="eastAsia"/>
          <w:sz w:val="28"/>
          <w:szCs w:val="28"/>
        </w:rPr>
        <w:t>資訊</w:t>
      </w:r>
      <w:r w:rsidRPr="00546535">
        <w:rPr>
          <w:rFonts w:ascii="標楷體" w:eastAsia="標楷體" w:hAnsi="標楷體" w:cs="Arial" w:hint="eastAsia"/>
          <w:sz w:val="28"/>
          <w:szCs w:val="28"/>
        </w:rPr>
        <w:t>安全</w:t>
      </w:r>
      <w:r w:rsidR="00A17E8D" w:rsidRPr="00546535">
        <w:rPr>
          <w:rFonts w:ascii="標楷體" w:eastAsia="標楷體" w:hAnsi="標楷體" w:cs="Arial" w:hint="eastAsia"/>
          <w:sz w:val="28"/>
          <w:szCs w:val="28"/>
        </w:rPr>
        <w:t>及個人資料保護等</w:t>
      </w:r>
      <w:r w:rsidRPr="00546535">
        <w:rPr>
          <w:rFonts w:ascii="標楷體" w:eastAsia="標楷體" w:hAnsi="標楷體" w:cs="Arial" w:hint="eastAsia"/>
          <w:sz w:val="28"/>
          <w:szCs w:val="28"/>
        </w:rPr>
        <w:t>風險管理能力。</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四、第三方服務提供者應符合會員公司與第三方服務提供者業務合作應適用之「證券期貨業與第三方服務提供者業務辦理開放證券公開資料查詢開放應用程式介面（OPEN API）業務安全控管作業規範」暨搭配之開放應用程式介面技術規格。</w:t>
      </w:r>
    </w:p>
    <w:p w:rsidR="00F47670"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五、第三方服務提供者之負責人及經理人應無</w:t>
      </w:r>
      <w:r w:rsidR="00A17E8D" w:rsidRPr="00546535">
        <w:rPr>
          <w:rFonts w:ascii="標楷體" w:eastAsia="標楷體" w:hAnsi="標楷體" w:cs="Arial" w:hint="eastAsia"/>
          <w:sz w:val="28"/>
          <w:szCs w:val="28"/>
        </w:rPr>
        <w:t>期貨交易法第二十八條</w:t>
      </w:r>
      <w:r w:rsidRPr="00546535">
        <w:rPr>
          <w:rFonts w:ascii="標楷體" w:eastAsia="標楷體" w:hAnsi="標楷體" w:cs="Arial" w:hint="eastAsia"/>
          <w:sz w:val="28"/>
          <w:szCs w:val="28"/>
        </w:rPr>
        <w:t>所述情形，並出具相關聲明書。</w:t>
      </w:r>
    </w:p>
    <w:p w:rsidR="00E8294E" w:rsidRPr="00546535" w:rsidRDefault="00E8294E"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第五條（會員公司要求合作之第三方服務提供者應遵循事項）</w:t>
      </w:r>
    </w:p>
    <w:p w:rsidR="00E8294E" w:rsidRPr="00546535" w:rsidRDefault="00E8294E" w:rsidP="00300520">
      <w:pPr>
        <w:widowControl/>
        <w:spacing w:line="440" w:lineRule="exact"/>
        <w:ind w:left="709"/>
        <w:jc w:val="both"/>
        <w:rPr>
          <w:rFonts w:ascii="標楷體" w:eastAsia="標楷體" w:hAnsi="標楷體" w:cs="Arial"/>
          <w:sz w:val="28"/>
          <w:szCs w:val="28"/>
        </w:rPr>
      </w:pPr>
      <w:r w:rsidRPr="00546535">
        <w:rPr>
          <w:rFonts w:ascii="標楷體" w:eastAsia="標楷體" w:hAnsi="標楷體" w:cs="Arial" w:hint="eastAsia"/>
          <w:sz w:val="28"/>
          <w:szCs w:val="28"/>
        </w:rPr>
        <w:t>會員公司應要求第三方服務提供者遵循下列事項：</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ㄧ、第三方服務提供者應遵循洗錢防制法、資恐防制法、個人資料保護法及消費者保護法等相關法令規定及主管機關所訂定之相關法令規定等及本</w:t>
      </w:r>
      <w:r w:rsidR="00E60C2C" w:rsidRPr="00546535">
        <w:rPr>
          <w:rFonts w:ascii="標楷體" w:eastAsia="標楷體" w:hAnsi="標楷體" w:cs="Arial" w:hint="eastAsia"/>
          <w:sz w:val="28"/>
          <w:szCs w:val="28"/>
        </w:rPr>
        <w:t>公</w:t>
      </w:r>
      <w:r w:rsidRPr="00546535">
        <w:rPr>
          <w:rFonts w:ascii="標楷體" w:eastAsia="標楷體" w:hAnsi="標楷體" w:cs="Arial" w:hint="eastAsia"/>
          <w:sz w:val="28"/>
          <w:szCs w:val="28"/>
        </w:rPr>
        <w:t>會相關自律規範之要求。</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二、第三方服務提供者訂定標準作業程序，並應遵循「證券期貨業與第三方服務提供者業務辦理開放證券公開資料查詢開放應用程式介面（OPEN API）業務安全控管作業規範」暨搭配之開放應用程式介面技術規格。</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三、第三方服務提供者不得違反法令強制或禁止規定、公共秩序及善良風俗，且不得有侵害會員公司、使用者利益或其他不當之行為。</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四、當第三方服務提供者發生資安事件有損使用者權益之虞時，應主動、即時通知會員公司及使用者，並採取適當之因應措施以確保資訊安全。</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五、第三方服務提供者應配合會員公司及主管機關定期或不定期之要求，提供相關資料或進行業務檢查（含資訊安全稽核）。</w:t>
      </w:r>
    </w:p>
    <w:p w:rsidR="00E8294E" w:rsidRPr="00546535" w:rsidRDefault="00E8294E"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t>六、第三方服務提供者應提供會員公司所傳輸之完整資訊予使用者，並確保與會員公司提供之資訊一致。</w:t>
      </w:r>
    </w:p>
    <w:p w:rsidR="006070C0" w:rsidRPr="00546535" w:rsidRDefault="006070C0" w:rsidP="00300520">
      <w:pPr>
        <w:widowControl/>
        <w:spacing w:line="440" w:lineRule="exact"/>
        <w:ind w:leftChars="295" w:left="1274" w:hangingChars="202" w:hanging="566"/>
        <w:jc w:val="both"/>
        <w:rPr>
          <w:rFonts w:ascii="標楷體" w:eastAsia="標楷體" w:hAnsi="標楷體" w:cs="Arial"/>
          <w:sz w:val="28"/>
          <w:szCs w:val="28"/>
        </w:rPr>
      </w:pPr>
      <w:r w:rsidRPr="00546535">
        <w:rPr>
          <w:rFonts w:ascii="標楷體" w:eastAsia="標楷體" w:hAnsi="標楷體" w:cs="Arial" w:hint="eastAsia"/>
          <w:sz w:val="28"/>
          <w:szCs w:val="28"/>
        </w:rPr>
        <w:lastRenderedPageBreak/>
        <w:t>七、 第三方服務提供者利用使用者資料為行銷時，使用者表示拒絕行銷者，第三方服務提供者應立即停止使用該使用者資料行銷，並至少於首次行銷時，提供使用者免費表示拒絕接受行銷之方式。</w:t>
      </w:r>
    </w:p>
    <w:p w:rsidR="00E8294E" w:rsidRPr="00546535" w:rsidRDefault="00E8294E" w:rsidP="00300520">
      <w:pPr>
        <w:widowControl/>
        <w:spacing w:line="440" w:lineRule="exact"/>
        <w:ind w:left="709"/>
        <w:jc w:val="both"/>
        <w:rPr>
          <w:rFonts w:ascii="標楷體" w:eastAsia="標楷體" w:hAnsi="標楷體" w:cs="Arial"/>
          <w:sz w:val="28"/>
          <w:szCs w:val="28"/>
        </w:rPr>
      </w:pPr>
      <w:r w:rsidRPr="00546535">
        <w:rPr>
          <w:rFonts w:ascii="標楷體" w:eastAsia="標楷體" w:hAnsi="標楷體" w:cs="Arial" w:hint="eastAsia"/>
          <w:sz w:val="28"/>
          <w:szCs w:val="28"/>
        </w:rPr>
        <w:t>第三方服務提供者如有違反前項各款規定之一時，合作之會員公司得終止雙方之業務合作關係。</w:t>
      </w:r>
    </w:p>
    <w:p w:rsidR="00E8294E" w:rsidRPr="00546535" w:rsidRDefault="00E8294E"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第六條（業務合作契約應訂定之事項）</w:t>
      </w:r>
    </w:p>
    <w:p w:rsidR="00E8294E" w:rsidRPr="00546535" w:rsidRDefault="00E8294E" w:rsidP="00300520">
      <w:pPr>
        <w:kinsoku w:val="0"/>
        <w:overflowPunct w:val="0"/>
        <w:autoSpaceDE w:val="0"/>
        <w:autoSpaceDN w:val="0"/>
        <w:spacing w:line="440" w:lineRule="exact"/>
        <w:ind w:left="709"/>
        <w:jc w:val="both"/>
        <w:rPr>
          <w:rFonts w:ascii="標楷體" w:eastAsia="標楷體" w:hAnsi="標楷體" w:cs="Arial"/>
          <w:sz w:val="28"/>
          <w:szCs w:val="28"/>
        </w:rPr>
      </w:pPr>
      <w:r w:rsidRPr="00546535">
        <w:rPr>
          <w:rFonts w:ascii="標楷體" w:eastAsia="標楷體" w:hAnsi="標楷體" w:cs="Arial" w:hint="eastAsia"/>
          <w:sz w:val="28"/>
          <w:szCs w:val="28"/>
        </w:rPr>
        <w:t>為維護會員公司、使用者及第三方服務提供者之權益，會員公司應於與第三方服務提供者之業務合作契約中訂定下列事項：</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一、會員公司及第三方服務提供者之權利義務。</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二、本自律規範第五條所規定之事項。</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三、智慧財產權之歸屬及使用。</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四、第三方服務提供者對外行銷時應遵守之事項。</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五、使用者爭端解決機制，包括解決程序及補救措施。</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六、會員公司與第三方服務提供者發生爭議時，其爭議處理機制。</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七、與第三方服務提供者終止業務合作契約之約定。</w:t>
      </w:r>
    </w:p>
    <w:p w:rsidR="00E8294E"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八、若發生異常事故、重大缺失或違反法令之情事，第三方服務提供者應立即通知合作之會員公司及使用者，並應立即採行緊急應變措施以降低對合作之會員公司及使用者可能造成之影響。</w:t>
      </w:r>
    </w:p>
    <w:p w:rsidR="00015BC8" w:rsidRPr="00546535" w:rsidRDefault="00E8294E" w:rsidP="00300520">
      <w:pPr>
        <w:kinsoku w:val="0"/>
        <w:overflowPunct w:val="0"/>
        <w:autoSpaceDE w:val="0"/>
        <w:autoSpaceDN w:val="0"/>
        <w:spacing w:line="440" w:lineRule="exact"/>
        <w:ind w:left="1191" w:hanging="482"/>
        <w:jc w:val="both"/>
        <w:rPr>
          <w:rFonts w:ascii="標楷體" w:eastAsia="標楷體" w:hAnsi="標楷體" w:cs="Arial"/>
          <w:sz w:val="28"/>
          <w:szCs w:val="28"/>
        </w:rPr>
      </w:pPr>
      <w:r w:rsidRPr="00546535">
        <w:rPr>
          <w:rFonts w:ascii="標楷體" w:eastAsia="標楷體" w:hAnsi="標楷體" w:cs="Arial" w:hint="eastAsia"/>
          <w:sz w:val="28"/>
          <w:szCs w:val="28"/>
        </w:rPr>
        <w:t>九、第三方服務提供者如有違反上述各款任一規定，致損害使用者或合作之會員公司權益時，應負損害賠償責任，合作之會員公司並得終止合作契約。</w:t>
      </w:r>
    </w:p>
    <w:p w:rsidR="003F4B3A" w:rsidRPr="00546535" w:rsidRDefault="003F4B3A"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第七條（合作資訊揭露）</w:t>
      </w:r>
    </w:p>
    <w:p w:rsidR="00E8294E" w:rsidRPr="00546535" w:rsidRDefault="00E8294E" w:rsidP="00300520">
      <w:pPr>
        <w:widowControl/>
        <w:spacing w:line="440" w:lineRule="exact"/>
        <w:ind w:left="709"/>
        <w:jc w:val="both"/>
        <w:rPr>
          <w:rFonts w:ascii="標楷體" w:eastAsia="標楷體" w:hAnsi="標楷體" w:cs="Arial"/>
          <w:sz w:val="28"/>
          <w:szCs w:val="28"/>
        </w:rPr>
      </w:pPr>
      <w:r w:rsidRPr="00546535">
        <w:rPr>
          <w:rFonts w:ascii="標楷體" w:eastAsia="標楷體" w:hAnsi="標楷體" w:cs="Arial" w:hint="eastAsia"/>
          <w:sz w:val="28"/>
          <w:szCs w:val="28"/>
        </w:rPr>
        <w:t>會員公司應於網站上設置專區揭露合作之第三方服務提供者、合作之業務範圍及該業者之網站連結網址，並提供查詢之管道，供使用者查明確認。與第三方服務提供者終止合作時，亦同。</w:t>
      </w:r>
    </w:p>
    <w:p w:rsidR="00E8294E" w:rsidRPr="00546535" w:rsidRDefault="00E8294E"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第八條（內部控制及稽核制度）</w:t>
      </w:r>
    </w:p>
    <w:p w:rsidR="00E8294E" w:rsidRPr="00546535" w:rsidRDefault="00E8294E" w:rsidP="00300520">
      <w:pPr>
        <w:widowControl/>
        <w:spacing w:line="440" w:lineRule="exact"/>
        <w:ind w:left="709"/>
        <w:jc w:val="both"/>
        <w:rPr>
          <w:rFonts w:ascii="標楷體" w:eastAsia="標楷體" w:hAnsi="標楷體" w:cs="Arial"/>
          <w:sz w:val="28"/>
          <w:szCs w:val="28"/>
        </w:rPr>
      </w:pPr>
      <w:r w:rsidRPr="00546535">
        <w:rPr>
          <w:rFonts w:ascii="標楷體" w:eastAsia="標楷體" w:hAnsi="標楷體" w:cs="Arial" w:hint="eastAsia"/>
          <w:sz w:val="28"/>
          <w:szCs w:val="28"/>
        </w:rPr>
        <w:t>會員公司與第三方服務提供者業務合作時，應訂定有關內部控制制度及稽核程序之內部規範。</w:t>
      </w:r>
    </w:p>
    <w:p w:rsidR="00E8294E" w:rsidRPr="00546535" w:rsidRDefault="00E8294E"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第九條（消費爭議處理機制）</w:t>
      </w:r>
    </w:p>
    <w:p w:rsidR="00E8294E" w:rsidRPr="00546535" w:rsidRDefault="00E8294E" w:rsidP="00300520">
      <w:pPr>
        <w:widowControl/>
        <w:spacing w:line="440" w:lineRule="exact"/>
        <w:ind w:left="709"/>
        <w:jc w:val="both"/>
        <w:rPr>
          <w:rFonts w:ascii="標楷體" w:eastAsia="標楷體" w:hAnsi="標楷體" w:cs="Arial"/>
          <w:sz w:val="28"/>
          <w:szCs w:val="28"/>
        </w:rPr>
      </w:pPr>
      <w:r w:rsidRPr="00546535">
        <w:rPr>
          <w:rFonts w:ascii="標楷體" w:eastAsia="標楷體" w:hAnsi="標楷體" w:cs="Arial" w:hint="eastAsia"/>
          <w:sz w:val="28"/>
          <w:szCs w:val="28"/>
        </w:rPr>
        <w:t>使用者與第三方服務提</w:t>
      </w:r>
      <w:r w:rsidR="00DD1266" w:rsidRPr="00546535">
        <w:rPr>
          <w:rFonts w:ascii="標楷體" w:eastAsia="標楷體" w:hAnsi="標楷體" w:cs="Arial" w:hint="eastAsia"/>
          <w:sz w:val="28"/>
          <w:szCs w:val="28"/>
        </w:rPr>
        <w:t>供者或會員公司發生消費爭議時，會員公司應提供使用者申訴管道，並</w:t>
      </w:r>
      <w:r w:rsidR="004C4A41" w:rsidRPr="00546535">
        <w:rPr>
          <w:rFonts w:ascii="標楷體" w:eastAsia="標楷體" w:hAnsi="標楷體" w:cs="Arial" w:hint="eastAsia"/>
          <w:sz w:val="28"/>
          <w:szCs w:val="28"/>
        </w:rPr>
        <w:t>應</w:t>
      </w:r>
      <w:r w:rsidRPr="00546535">
        <w:rPr>
          <w:rFonts w:ascii="標楷體" w:eastAsia="標楷體" w:hAnsi="標楷體" w:cs="Arial" w:hint="eastAsia"/>
          <w:sz w:val="28"/>
          <w:szCs w:val="28"/>
        </w:rPr>
        <w:t>提供使用者協助，以妥適處理消費爭議。</w:t>
      </w:r>
    </w:p>
    <w:p w:rsidR="004C4A41" w:rsidRPr="00546535" w:rsidRDefault="004C4A41" w:rsidP="00300520">
      <w:pPr>
        <w:widowControl/>
        <w:spacing w:line="440" w:lineRule="exact"/>
        <w:ind w:left="709"/>
        <w:jc w:val="both"/>
        <w:rPr>
          <w:rFonts w:ascii="標楷體" w:eastAsia="標楷體" w:hAnsi="標楷體" w:cs="Arial"/>
          <w:sz w:val="28"/>
          <w:szCs w:val="28"/>
        </w:rPr>
      </w:pPr>
      <w:r w:rsidRPr="00546535">
        <w:rPr>
          <w:rFonts w:ascii="標楷體" w:eastAsia="標楷體" w:hAnsi="標楷體" w:cs="Arial"/>
          <w:sz w:val="28"/>
          <w:szCs w:val="28"/>
        </w:rPr>
        <w:lastRenderedPageBreak/>
        <w:t>會員公司應與第三方服務提供者約定，如使用者向會員公司提出因其與第三方服務提供者所生之消費爭議而受有損害者，除會員公司得證明使用者有故意或過失者外，於一定金額內由會員公司 先行給付使用者，再依業務合作契約之約定向第三方服務提供者求償。</w:t>
      </w:r>
    </w:p>
    <w:p w:rsidR="00E8294E" w:rsidRPr="00546535" w:rsidRDefault="00E8294E" w:rsidP="001C5160">
      <w:pPr>
        <w:spacing w:beforeLines="50" w:before="180" w:line="440" w:lineRule="exact"/>
        <w:jc w:val="both"/>
        <w:rPr>
          <w:rFonts w:ascii="標楷體" w:eastAsia="標楷體" w:hAnsi="標楷體" w:cs="Arial"/>
          <w:b/>
          <w:sz w:val="28"/>
          <w:szCs w:val="28"/>
        </w:rPr>
      </w:pPr>
      <w:r w:rsidRPr="00546535">
        <w:rPr>
          <w:rFonts w:ascii="標楷體" w:eastAsia="標楷體" w:hAnsi="標楷體" w:cs="Arial" w:hint="eastAsia"/>
          <w:b/>
          <w:sz w:val="28"/>
          <w:szCs w:val="28"/>
        </w:rPr>
        <w:t>第十條（</w:t>
      </w:r>
      <w:r w:rsidR="00CE6803" w:rsidRPr="00546535">
        <w:rPr>
          <w:rFonts w:ascii="標楷體" w:eastAsia="標楷體" w:hAnsi="標楷體" w:cs="Arial" w:hint="eastAsia"/>
          <w:b/>
          <w:sz w:val="28"/>
          <w:szCs w:val="28"/>
        </w:rPr>
        <w:t>施行</w:t>
      </w:r>
      <w:r w:rsidRPr="00546535">
        <w:rPr>
          <w:rFonts w:ascii="標楷體" w:eastAsia="標楷體" w:hAnsi="標楷體" w:cs="Arial" w:hint="eastAsia"/>
          <w:b/>
          <w:sz w:val="28"/>
          <w:szCs w:val="28"/>
        </w:rPr>
        <w:t>程序）</w:t>
      </w:r>
    </w:p>
    <w:p w:rsidR="009F6172" w:rsidRPr="00546535" w:rsidRDefault="00B67E76" w:rsidP="001C5160">
      <w:pPr>
        <w:widowControl/>
        <w:spacing w:line="440" w:lineRule="exact"/>
        <w:ind w:left="709"/>
        <w:jc w:val="both"/>
        <w:rPr>
          <w:rFonts w:ascii="標楷體" w:eastAsia="標楷體" w:hAnsi="標楷體"/>
        </w:rPr>
      </w:pPr>
      <w:r w:rsidRPr="00546535">
        <w:rPr>
          <w:rFonts w:ascii="標楷體" w:eastAsia="標楷體" w:hAnsi="標楷體" w:cs="Arial" w:hint="eastAsia"/>
          <w:sz w:val="28"/>
          <w:szCs w:val="28"/>
        </w:rPr>
        <w:t>本自律規範經本公會理監事聯席會通過並陳報主管機關備查後施行，修正時亦同。</w:t>
      </w:r>
    </w:p>
    <w:sectPr w:rsidR="009F6172" w:rsidRPr="00546535" w:rsidSect="00DC0EDE">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779" w:rsidRDefault="002E0779" w:rsidP="00DD1266">
      <w:r>
        <w:separator/>
      </w:r>
    </w:p>
  </w:endnote>
  <w:endnote w:type="continuationSeparator" w:id="0">
    <w:p w:rsidR="002E0779" w:rsidRDefault="002E0779" w:rsidP="00DD1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779" w:rsidRDefault="002E0779" w:rsidP="00DD1266">
      <w:r>
        <w:separator/>
      </w:r>
    </w:p>
  </w:footnote>
  <w:footnote w:type="continuationSeparator" w:id="0">
    <w:p w:rsidR="002E0779" w:rsidRDefault="002E0779" w:rsidP="00DD126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94E"/>
    <w:rsid w:val="00015BC8"/>
    <w:rsid w:val="00102BCB"/>
    <w:rsid w:val="00104CD3"/>
    <w:rsid w:val="00121E8F"/>
    <w:rsid w:val="001C5160"/>
    <w:rsid w:val="00210B0E"/>
    <w:rsid w:val="00222592"/>
    <w:rsid w:val="002A29F8"/>
    <w:rsid w:val="002A5A8D"/>
    <w:rsid w:val="002C5AFF"/>
    <w:rsid w:val="002D530F"/>
    <w:rsid w:val="002E0779"/>
    <w:rsid w:val="00300520"/>
    <w:rsid w:val="003A105B"/>
    <w:rsid w:val="003A36B3"/>
    <w:rsid w:val="003F2C4A"/>
    <w:rsid w:val="003F4B3A"/>
    <w:rsid w:val="0041243D"/>
    <w:rsid w:val="004B6AA4"/>
    <w:rsid w:val="004C4A41"/>
    <w:rsid w:val="00544814"/>
    <w:rsid w:val="00546535"/>
    <w:rsid w:val="006070C0"/>
    <w:rsid w:val="0062177D"/>
    <w:rsid w:val="00624DE1"/>
    <w:rsid w:val="00692FD9"/>
    <w:rsid w:val="006B0522"/>
    <w:rsid w:val="006D2662"/>
    <w:rsid w:val="007B314D"/>
    <w:rsid w:val="00803CE9"/>
    <w:rsid w:val="008B6E1F"/>
    <w:rsid w:val="008D5C3A"/>
    <w:rsid w:val="00904E4B"/>
    <w:rsid w:val="00961EC6"/>
    <w:rsid w:val="009F6172"/>
    <w:rsid w:val="00A00027"/>
    <w:rsid w:val="00A17E8D"/>
    <w:rsid w:val="00B26C61"/>
    <w:rsid w:val="00B67E76"/>
    <w:rsid w:val="00BE5CC7"/>
    <w:rsid w:val="00CD3EE0"/>
    <w:rsid w:val="00CE64D0"/>
    <w:rsid w:val="00CE6803"/>
    <w:rsid w:val="00D90DDE"/>
    <w:rsid w:val="00DB2FF7"/>
    <w:rsid w:val="00DC0EDE"/>
    <w:rsid w:val="00DD1266"/>
    <w:rsid w:val="00E30CC6"/>
    <w:rsid w:val="00E60C2C"/>
    <w:rsid w:val="00E6442D"/>
    <w:rsid w:val="00E8294E"/>
    <w:rsid w:val="00EF02FD"/>
    <w:rsid w:val="00F02F31"/>
    <w:rsid w:val="00F13F33"/>
    <w:rsid w:val="00F476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76841"/>
  <w15:chartTrackingRefBased/>
  <w15:docId w15:val="{84620F39-AF47-4EF4-9B64-A82099D2A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2F3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D1266"/>
    <w:pPr>
      <w:tabs>
        <w:tab w:val="center" w:pos="4153"/>
        <w:tab w:val="right" w:pos="8306"/>
      </w:tabs>
      <w:snapToGrid w:val="0"/>
    </w:pPr>
    <w:rPr>
      <w:sz w:val="20"/>
      <w:szCs w:val="20"/>
    </w:rPr>
  </w:style>
  <w:style w:type="character" w:customStyle="1" w:styleId="a4">
    <w:name w:val="頁首 字元"/>
    <w:basedOn w:val="a0"/>
    <w:link w:val="a3"/>
    <w:uiPriority w:val="99"/>
    <w:rsid w:val="00DD1266"/>
    <w:rPr>
      <w:sz w:val="20"/>
      <w:szCs w:val="20"/>
    </w:rPr>
  </w:style>
  <w:style w:type="paragraph" w:styleId="a5">
    <w:name w:val="footer"/>
    <w:basedOn w:val="a"/>
    <w:link w:val="a6"/>
    <w:uiPriority w:val="99"/>
    <w:unhideWhenUsed/>
    <w:rsid w:val="00DD1266"/>
    <w:pPr>
      <w:tabs>
        <w:tab w:val="center" w:pos="4153"/>
        <w:tab w:val="right" w:pos="8306"/>
      </w:tabs>
      <w:snapToGrid w:val="0"/>
    </w:pPr>
    <w:rPr>
      <w:sz w:val="20"/>
      <w:szCs w:val="20"/>
    </w:rPr>
  </w:style>
  <w:style w:type="character" w:customStyle="1" w:styleId="a6">
    <w:name w:val="頁尾 字元"/>
    <w:basedOn w:val="a0"/>
    <w:link w:val="a5"/>
    <w:uiPriority w:val="99"/>
    <w:rsid w:val="00DD1266"/>
    <w:rPr>
      <w:sz w:val="20"/>
      <w:szCs w:val="20"/>
    </w:rPr>
  </w:style>
  <w:style w:type="character" w:styleId="a7">
    <w:name w:val="annotation reference"/>
    <w:basedOn w:val="a0"/>
    <w:uiPriority w:val="99"/>
    <w:semiHidden/>
    <w:unhideWhenUsed/>
    <w:rsid w:val="009F6172"/>
    <w:rPr>
      <w:sz w:val="18"/>
      <w:szCs w:val="18"/>
    </w:rPr>
  </w:style>
  <w:style w:type="paragraph" w:styleId="a8">
    <w:name w:val="annotation text"/>
    <w:basedOn w:val="a"/>
    <w:link w:val="a9"/>
    <w:uiPriority w:val="99"/>
    <w:semiHidden/>
    <w:unhideWhenUsed/>
    <w:rsid w:val="009F6172"/>
  </w:style>
  <w:style w:type="character" w:customStyle="1" w:styleId="a9">
    <w:name w:val="註解文字 字元"/>
    <w:basedOn w:val="a0"/>
    <w:link w:val="a8"/>
    <w:uiPriority w:val="99"/>
    <w:semiHidden/>
    <w:rsid w:val="009F6172"/>
  </w:style>
  <w:style w:type="paragraph" w:styleId="aa">
    <w:name w:val="Balloon Text"/>
    <w:basedOn w:val="a"/>
    <w:link w:val="ab"/>
    <w:uiPriority w:val="99"/>
    <w:semiHidden/>
    <w:unhideWhenUsed/>
    <w:rsid w:val="009F617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F6172"/>
    <w:rPr>
      <w:rFonts w:asciiTheme="majorHAnsi" w:eastAsiaTheme="majorEastAsia" w:hAnsiTheme="majorHAnsi" w:cstheme="majorBidi"/>
      <w:sz w:val="18"/>
      <w:szCs w:val="18"/>
    </w:rPr>
  </w:style>
  <w:style w:type="paragraph" w:styleId="ac">
    <w:name w:val="annotation subject"/>
    <w:basedOn w:val="a8"/>
    <w:next w:val="a8"/>
    <w:link w:val="ad"/>
    <w:uiPriority w:val="99"/>
    <w:semiHidden/>
    <w:unhideWhenUsed/>
    <w:rsid w:val="009F6172"/>
    <w:rPr>
      <w:b/>
      <w:bCs/>
    </w:rPr>
  </w:style>
  <w:style w:type="character" w:customStyle="1" w:styleId="ad">
    <w:name w:val="註解主旨 字元"/>
    <w:basedOn w:val="a9"/>
    <w:link w:val="ac"/>
    <w:uiPriority w:val="99"/>
    <w:semiHidden/>
    <w:rsid w:val="009F6172"/>
    <w:rPr>
      <w:b/>
      <w:bCs/>
    </w:rPr>
  </w:style>
  <w:style w:type="paragraph" w:styleId="ae">
    <w:name w:val="List Paragraph"/>
    <w:basedOn w:val="a"/>
    <w:uiPriority w:val="34"/>
    <w:qFormat/>
    <w:rsid w:val="00F02F3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1F05E-8107-4FD9-8DE9-3DCF1F8D4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4</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鄧皓天</dc:creator>
  <cp:keywords/>
  <dc:description/>
  <cp:lastModifiedBy>謝美惠</cp:lastModifiedBy>
  <cp:revision>91</cp:revision>
  <dcterms:created xsi:type="dcterms:W3CDTF">2022-10-07T08:42:00Z</dcterms:created>
  <dcterms:modified xsi:type="dcterms:W3CDTF">2022-11-03T11:22:00Z</dcterms:modified>
</cp:coreProperties>
</file>