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968" w:rsidRPr="00B449F2" w:rsidRDefault="00B52968" w:rsidP="00B52968">
      <w:pPr>
        <w:jc w:val="center"/>
        <w:rPr>
          <w:rFonts w:ascii="標楷體" w:eastAsia="標楷體" w:hAnsi="標楷體"/>
          <w:sz w:val="36"/>
          <w:szCs w:val="36"/>
        </w:rPr>
      </w:pPr>
      <w:r w:rsidRPr="00B449F2">
        <w:rPr>
          <w:rFonts w:ascii="標楷體" w:eastAsia="標楷體" w:hAnsi="標楷體" w:hint="eastAsia"/>
          <w:sz w:val="36"/>
          <w:szCs w:val="36"/>
        </w:rPr>
        <w:t>中華民國期貨業商業同業公會</w:t>
      </w:r>
    </w:p>
    <w:p w:rsidR="00B52968" w:rsidRPr="00B449F2" w:rsidRDefault="00B52968" w:rsidP="00B52968">
      <w:pPr>
        <w:spacing w:line="480" w:lineRule="exact"/>
        <w:jc w:val="center"/>
        <w:rPr>
          <w:rFonts w:ascii="標楷體" w:eastAsia="標楷體" w:hAnsi="標楷體"/>
          <w:sz w:val="32"/>
          <w:szCs w:val="32"/>
        </w:rPr>
      </w:pPr>
      <w:r w:rsidRPr="00B449F2">
        <w:rPr>
          <w:rFonts w:ascii="標楷體" w:eastAsia="標楷體" w:hAnsi="標楷體" w:hint="eastAsia"/>
          <w:sz w:val="36"/>
          <w:szCs w:val="36"/>
        </w:rPr>
        <w:t>期貨信託基金之募集、發行、銷售及申購買回作業程序</w:t>
      </w:r>
    </w:p>
    <w:p w:rsidR="00B52968" w:rsidRPr="00796F53" w:rsidRDefault="00B52968" w:rsidP="00B52968">
      <w:pPr>
        <w:pStyle w:val="Layout"/>
        <w:tabs>
          <w:tab w:val="left" w:pos="672"/>
        </w:tabs>
        <w:snapToGrid w:val="0"/>
        <w:spacing w:after="60" w:line="280" w:lineRule="exact"/>
        <w:ind w:left="4536"/>
        <w:jc w:val="both"/>
        <w:rPr>
          <w:rFonts w:ascii="標楷體" w:eastAsia="標楷體" w:hAnsi="標楷體"/>
          <w:sz w:val="20"/>
        </w:rPr>
      </w:pP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中華民國97年12月16日中華民國期貨業商業同業公會第2屆理監事第8次聯席會通過</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中華民國98年5月25日行政院金融監督管理委員會金管證七字第0980027021號函准予備查</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中華民國101年2月17日中華民國期貨業商業同業公會第3屆理監事第10次聯席會議通過</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中華民國101年3月6日行政院金融監督管理委員會金管證期字第1010007120號函准予備查</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中華民國103</w:t>
      </w:r>
      <w:r w:rsidRPr="00D53A65">
        <w:rPr>
          <w:rFonts w:ascii="標楷體" w:eastAsia="標楷體" w:hAnsi="標楷體"/>
          <w:sz w:val="20"/>
          <w:szCs w:val="24"/>
        </w:rPr>
        <w:t>年</w:t>
      </w:r>
      <w:r w:rsidRPr="00D53A65">
        <w:rPr>
          <w:rFonts w:ascii="標楷體" w:eastAsia="標楷體" w:hAnsi="標楷體" w:hint="eastAsia"/>
          <w:sz w:val="20"/>
          <w:szCs w:val="24"/>
        </w:rPr>
        <w:t>4</w:t>
      </w:r>
      <w:r w:rsidRPr="00D53A65">
        <w:rPr>
          <w:rFonts w:ascii="標楷體" w:eastAsia="標楷體" w:hAnsi="標楷體"/>
          <w:sz w:val="20"/>
          <w:szCs w:val="24"/>
        </w:rPr>
        <w:t>月</w:t>
      </w:r>
      <w:r w:rsidRPr="00D53A65">
        <w:rPr>
          <w:rFonts w:ascii="標楷體" w:eastAsia="標楷體" w:hAnsi="標楷體" w:hint="eastAsia"/>
          <w:sz w:val="20"/>
          <w:szCs w:val="24"/>
        </w:rPr>
        <w:t>11</w:t>
      </w:r>
      <w:r w:rsidRPr="00D53A65">
        <w:rPr>
          <w:rFonts w:ascii="標楷體" w:eastAsia="標楷體" w:hAnsi="標楷體"/>
          <w:sz w:val="20"/>
          <w:szCs w:val="24"/>
        </w:rPr>
        <w:t>日</w:t>
      </w:r>
      <w:r w:rsidRPr="00D53A65">
        <w:rPr>
          <w:rFonts w:ascii="標楷體" w:eastAsia="標楷體" w:hAnsi="標楷體" w:hint="eastAsia"/>
          <w:sz w:val="20"/>
          <w:szCs w:val="24"/>
        </w:rPr>
        <w:t>中華民國期貨業商業同業公會第4屆理監事第6次聯席會議通</w:t>
      </w:r>
      <w:r w:rsidR="000E2E58" w:rsidRPr="00B87515">
        <w:rPr>
          <w:rFonts w:ascii="標楷體" w:eastAsia="標楷體" w:hAnsi="標楷體" w:hint="eastAsia"/>
          <w:sz w:val="20"/>
        </w:rPr>
        <w:t>過</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中華民國103年6月13日金融監督管理委員會金管證期字第1030016884號函准予備查</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中華民國103</w:t>
      </w:r>
      <w:r w:rsidRPr="00D53A65">
        <w:rPr>
          <w:rFonts w:ascii="標楷體" w:eastAsia="標楷體" w:hAnsi="標楷體"/>
          <w:sz w:val="20"/>
          <w:szCs w:val="24"/>
        </w:rPr>
        <w:t>年</w:t>
      </w:r>
      <w:r w:rsidRPr="00D53A65">
        <w:rPr>
          <w:rFonts w:ascii="標楷體" w:eastAsia="標楷體" w:hAnsi="標楷體" w:hint="eastAsia"/>
          <w:sz w:val="20"/>
          <w:szCs w:val="24"/>
        </w:rPr>
        <w:t>6</w:t>
      </w:r>
      <w:r w:rsidRPr="00D53A65">
        <w:rPr>
          <w:rFonts w:ascii="標楷體" w:eastAsia="標楷體" w:hAnsi="標楷體"/>
          <w:sz w:val="20"/>
          <w:szCs w:val="24"/>
        </w:rPr>
        <w:t>月</w:t>
      </w:r>
      <w:r w:rsidRPr="00D53A65">
        <w:rPr>
          <w:rFonts w:ascii="標楷體" w:eastAsia="標楷體" w:hAnsi="標楷體" w:hint="eastAsia"/>
          <w:sz w:val="20"/>
          <w:szCs w:val="24"/>
        </w:rPr>
        <w:t>20</w:t>
      </w:r>
      <w:r w:rsidRPr="00D53A65">
        <w:rPr>
          <w:rFonts w:ascii="標楷體" w:eastAsia="標楷體" w:hAnsi="標楷體"/>
          <w:sz w:val="20"/>
          <w:szCs w:val="24"/>
        </w:rPr>
        <w:t>日</w:t>
      </w:r>
      <w:r w:rsidRPr="00D53A65">
        <w:rPr>
          <w:rFonts w:ascii="標楷體" w:eastAsia="標楷體" w:hAnsi="標楷體" w:hint="eastAsia"/>
          <w:sz w:val="20"/>
          <w:szCs w:val="24"/>
        </w:rPr>
        <w:t>中華民國期貨業商業同業公會第4屆理監事第7次聯席會議通</w:t>
      </w:r>
      <w:r w:rsidR="000E2E58" w:rsidRPr="00B87515">
        <w:rPr>
          <w:rFonts w:ascii="標楷體" w:eastAsia="標楷體" w:hAnsi="標楷體" w:hint="eastAsia"/>
          <w:sz w:val="20"/>
        </w:rPr>
        <w:t>過</w:t>
      </w:r>
    </w:p>
    <w:p w:rsidR="00B52968"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中華民國103年7月21日金融監督管理委員會金管證期字第1030025490號函准予照辦</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中華民國105</w:t>
      </w:r>
      <w:r w:rsidRPr="00D53A65">
        <w:rPr>
          <w:rFonts w:ascii="標楷體" w:eastAsia="標楷體" w:hAnsi="標楷體"/>
          <w:sz w:val="20"/>
          <w:szCs w:val="24"/>
        </w:rPr>
        <w:t>年</w:t>
      </w:r>
      <w:r>
        <w:rPr>
          <w:rFonts w:ascii="標楷體" w:eastAsia="標楷體" w:hAnsi="標楷體" w:hint="eastAsia"/>
          <w:sz w:val="20"/>
          <w:szCs w:val="24"/>
        </w:rPr>
        <w:t>5</w:t>
      </w:r>
      <w:r w:rsidRPr="00D53A65">
        <w:rPr>
          <w:rFonts w:ascii="標楷體" w:eastAsia="標楷體" w:hAnsi="標楷體"/>
          <w:sz w:val="20"/>
          <w:szCs w:val="24"/>
        </w:rPr>
        <w:t>月</w:t>
      </w:r>
      <w:r>
        <w:rPr>
          <w:rFonts w:ascii="標楷體" w:eastAsia="標楷體" w:hAnsi="標楷體" w:hint="eastAsia"/>
          <w:sz w:val="20"/>
          <w:szCs w:val="24"/>
        </w:rPr>
        <w:t>26</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員會金管證期字第1</w:t>
      </w:r>
      <w:r w:rsidRPr="00D53A65">
        <w:rPr>
          <w:rFonts w:ascii="標楷體" w:eastAsia="標楷體" w:hAnsi="標楷體"/>
          <w:sz w:val="20"/>
          <w:szCs w:val="24"/>
        </w:rPr>
        <w:t>0</w:t>
      </w:r>
      <w:r w:rsidRPr="00D53A65">
        <w:rPr>
          <w:rFonts w:ascii="標楷體" w:eastAsia="標楷體" w:hAnsi="標楷體" w:hint="eastAsia"/>
          <w:sz w:val="20"/>
          <w:szCs w:val="24"/>
        </w:rPr>
        <w:t>5</w:t>
      </w:r>
      <w:r w:rsidRPr="00D53A65">
        <w:rPr>
          <w:rFonts w:ascii="標楷體" w:eastAsia="標楷體" w:hAnsi="標楷體"/>
          <w:sz w:val="20"/>
          <w:szCs w:val="24"/>
        </w:rPr>
        <w:t>00</w:t>
      </w:r>
      <w:r>
        <w:rPr>
          <w:rFonts w:ascii="標楷體" w:eastAsia="標楷體" w:hAnsi="標楷體" w:hint="eastAsia"/>
          <w:sz w:val="20"/>
          <w:szCs w:val="24"/>
        </w:rPr>
        <w:t>20974</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6</w:t>
      </w:r>
      <w:r w:rsidRPr="00B87515">
        <w:rPr>
          <w:rFonts w:ascii="標楷體" w:eastAsia="標楷體" w:hAnsi="標楷體"/>
          <w:sz w:val="20"/>
        </w:rPr>
        <w:t>月</w:t>
      </w:r>
      <w:r>
        <w:rPr>
          <w:rFonts w:ascii="標楷體" w:eastAsia="標楷體" w:hAnsi="標楷體" w:hint="eastAsia"/>
          <w:sz w:val="20"/>
        </w:rPr>
        <w:t>13</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屆理監事第1</w:t>
      </w:r>
      <w:r>
        <w:rPr>
          <w:rFonts w:ascii="標楷體" w:eastAsia="標楷體" w:hAnsi="標楷體" w:hint="eastAsia"/>
          <w:sz w:val="20"/>
        </w:rPr>
        <w:t>9</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B52968" w:rsidRDefault="00B52968" w:rsidP="00B5296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8</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屆理監事第1次聯席會議通過</w:t>
      </w:r>
    </w:p>
    <w:p w:rsidR="00B52968"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中華民國105</w:t>
      </w:r>
      <w:r w:rsidRPr="00D53A65">
        <w:rPr>
          <w:rFonts w:ascii="標楷體" w:eastAsia="標楷體" w:hAnsi="標楷體"/>
          <w:sz w:val="20"/>
          <w:szCs w:val="24"/>
        </w:rPr>
        <w:t>年</w:t>
      </w:r>
      <w:r>
        <w:rPr>
          <w:rFonts w:ascii="標楷體" w:eastAsia="標楷體" w:hAnsi="標楷體" w:hint="eastAsia"/>
          <w:sz w:val="20"/>
          <w:szCs w:val="24"/>
        </w:rPr>
        <w:t>9</w:t>
      </w:r>
      <w:r w:rsidRPr="00D53A65">
        <w:rPr>
          <w:rFonts w:ascii="標楷體" w:eastAsia="標楷體" w:hAnsi="標楷體"/>
          <w:sz w:val="20"/>
          <w:szCs w:val="24"/>
        </w:rPr>
        <w:t>月</w:t>
      </w:r>
      <w:r>
        <w:rPr>
          <w:rFonts w:ascii="標楷體" w:eastAsia="標楷體" w:hAnsi="標楷體" w:hint="eastAsia"/>
          <w:sz w:val="20"/>
          <w:szCs w:val="24"/>
        </w:rPr>
        <w:t>1</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員會金管證期字第1</w:t>
      </w:r>
      <w:r w:rsidRPr="00D53A65">
        <w:rPr>
          <w:rFonts w:ascii="標楷體" w:eastAsia="標楷體" w:hAnsi="標楷體"/>
          <w:sz w:val="20"/>
          <w:szCs w:val="24"/>
        </w:rPr>
        <w:t>0</w:t>
      </w:r>
      <w:r w:rsidRPr="00D53A65">
        <w:rPr>
          <w:rFonts w:ascii="標楷體" w:eastAsia="標楷體" w:hAnsi="標楷體" w:hint="eastAsia"/>
          <w:sz w:val="20"/>
          <w:szCs w:val="24"/>
        </w:rPr>
        <w:t>5</w:t>
      </w:r>
      <w:r w:rsidRPr="00D53A65">
        <w:rPr>
          <w:rFonts w:ascii="標楷體" w:eastAsia="標楷體" w:hAnsi="標楷體"/>
          <w:sz w:val="20"/>
          <w:szCs w:val="24"/>
        </w:rPr>
        <w:t>00</w:t>
      </w:r>
      <w:r>
        <w:rPr>
          <w:rFonts w:ascii="標楷體" w:eastAsia="標楷體" w:hAnsi="標楷體" w:hint="eastAsia"/>
          <w:sz w:val="20"/>
          <w:szCs w:val="24"/>
        </w:rPr>
        <w:t>35911</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6</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sidRPr="00B87515">
        <w:rPr>
          <w:rFonts w:ascii="標楷體" w:eastAsia="標楷體" w:hAnsi="標楷體" w:hint="eastAsia"/>
          <w:sz w:val="20"/>
        </w:rPr>
        <w:t>2</w:t>
      </w:r>
      <w:r>
        <w:rPr>
          <w:rFonts w:ascii="標楷體" w:eastAsia="標楷體" w:hAnsi="標楷體" w:hint="eastAsia"/>
          <w:sz w:val="20"/>
        </w:rPr>
        <w:t>1</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5</w:t>
      </w:r>
      <w:r w:rsidRPr="00B87515">
        <w:rPr>
          <w:rFonts w:ascii="標楷體" w:eastAsia="標楷體" w:hAnsi="標楷體" w:hint="eastAsia"/>
          <w:sz w:val="20"/>
        </w:rPr>
        <w:t>次聯席會議通過</w:t>
      </w:r>
    </w:p>
    <w:p w:rsidR="00B52968"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w:t>
      </w:r>
      <w:r>
        <w:rPr>
          <w:rFonts w:ascii="標楷體" w:eastAsia="標楷體" w:hAnsi="標楷體" w:hint="eastAsia"/>
          <w:sz w:val="20"/>
          <w:szCs w:val="24"/>
        </w:rPr>
        <w:t>6</w:t>
      </w:r>
      <w:r w:rsidRPr="00D53A65">
        <w:rPr>
          <w:rFonts w:ascii="標楷體" w:eastAsia="標楷體" w:hAnsi="標楷體"/>
          <w:sz w:val="20"/>
          <w:szCs w:val="24"/>
        </w:rPr>
        <w:t>年</w:t>
      </w:r>
      <w:r>
        <w:rPr>
          <w:rFonts w:ascii="標楷體" w:eastAsia="標楷體" w:hAnsi="標楷體" w:hint="eastAsia"/>
          <w:sz w:val="20"/>
          <w:szCs w:val="24"/>
        </w:rPr>
        <w:t>5</w:t>
      </w:r>
      <w:r w:rsidRPr="00D53A65">
        <w:rPr>
          <w:rFonts w:ascii="標楷體" w:eastAsia="標楷體" w:hAnsi="標楷體"/>
          <w:sz w:val="20"/>
          <w:szCs w:val="24"/>
        </w:rPr>
        <w:t>月</w:t>
      </w:r>
      <w:r>
        <w:rPr>
          <w:rFonts w:ascii="標楷體" w:eastAsia="標楷體" w:hAnsi="標楷體" w:hint="eastAsia"/>
          <w:sz w:val="20"/>
          <w:szCs w:val="24"/>
        </w:rPr>
        <w:t>9</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員會金管證期字第1</w:t>
      </w:r>
      <w:r w:rsidRPr="00D53A65">
        <w:rPr>
          <w:rFonts w:ascii="標楷體" w:eastAsia="標楷體" w:hAnsi="標楷體"/>
          <w:sz w:val="20"/>
          <w:szCs w:val="24"/>
        </w:rPr>
        <w:t>0</w:t>
      </w:r>
      <w:r>
        <w:rPr>
          <w:rFonts w:ascii="標楷體" w:eastAsia="標楷體" w:hAnsi="標楷體" w:hint="eastAsia"/>
          <w:sz w:val="20"/>
          <w:szCs w:val="24"/>
        </w:rPr>
        <w:t>6</w:t>
      </w:r>
      <w:r w:rsidRPr="00D53A65">
        <w:rPr>
          <w:rFonts w:ascii="標楷體" w:eastAsia="標楷體" w:hAnsi="標楷體"/>
          <w:sz w:val="20"/>
          <w:szCs w:val="24"/>
        </w:rPr>
        <w:t>00</w:t>
      </w:r>
      <w:r>
        <w:rPr>
          <w:rFonts w:ascii="標楷體" w:eastAsia="標楷體" w:hAnsi="標楷體" w:hint="eastAsia"/>
          <w:sz w:val="20"/>
          <w:szCs w:val="24"/>
        </w:rPr>
        <w:t>15460</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7</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14</w:t>
      </w:r>
      <w:r w:rsidRPr="00B87515">
        <w:rPr>
          <w:rFonts w:ascii="標楷體" w:eastAsia="標楷體" w:hAnsi="標楷體" w:hint="eastAsia"/>
          <w:sz w:val="20"/>
        </w:rPr>
        <w:t>次聯席會議通過</w:t>
      </w:r>
    </w:p>
    <w:p w:rsidR="00B52968" w:rsidRDefault="00B52968" w:rsidP="00B52968">
      <w:pPr>
        <w:spacing w:line="240" w:lineRule="exact"/>
        <w:ind w:firstLineChars="400" w:firstLine="8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107</w:t>
      </w:r>
      <w:r>
        <w:rPr>
          <w:rFonts w:ascii="標楷體" w:eastAsia="標楷體" w:hAnsi="標楷體" w:hint="eastAsia"/>
          <w:sz w:val="20"/>
        </w:rPr>
        <w:t>年11月13日金融監督管理委員會金管證期字第1</w:t>
      </w:r>
      <w:r>
        <w:rPr>
          <w:rFonts w:ascii="標楷體" w:eastAsia="標楷體" w:hint="eastAsia"/>
          <w:sz w:val="20"/>
        </w:rPr>
        <w:t>070339692</w:t>
      </w:r>
      <w:r>
        <w:rPr>
          <w:rFonts w:ascii="標楷體" w:eastAsia="標楷體" w:hAnsi="標楷體" w:hint="eastAsia"/>
          <w:sz w:val="20"/>
        </w:rPr>
        <w:t>號函同意照辦</w:t>
      </w:r>
    </w:p>
    <w:p w:rsidR="000E2E58" w:rsidRDefault="000E2E58" w:rsidP="000E2E5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8</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18</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2</w:t>
      </w:r>
      <w:r w:rsidRPr="00B87515">
        <w:rPr>
          <w:rFonts w:ascii="標楷體" w:eastAsia="標楷體" w:hAnsi="標楷體" w:hint="eastAsia"/>
          <w:sz w:val="20"/>
        </w:rPr>
        <w:t>次聯席會議通過</w:t>
      </w:r>
    </w:p>
    <w:p w:rsidR="007D17C8" w:rsidRDefault="007D17C8" w:rsidP="007D17C8">
      <w:pPr>
        <w:spacing w:line="240" w:lineRule="exact"/>
        <w:ind w:firstLineChars="400" w:firstLine="8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108</w:t>
      </w:r>
      <w:r>
        <w:rPr>
          <w:rFonts w:ascii="標楷體" w:eastAsia="標楷體" w:hAnsi="標楷體" w:hint="eastAsia"/>
          <w:sz w:val="20"/>
        </w:rPr>
        <w:t>年12月9日金融監督管理委員會金管證期字第1</w:t>
      </w:r>
      <w:r>
        <w:rPr>
          <w:rFonts w:ascii="標楷體" w:eastAsia="標楷體" w:hint="eastAsia"/>
          <w:sz w:val="20"/>
        </w:rPr>
        <w:t>080334943</w:t>
      </w:r>
      <w:r>
        <w:rPr>
          <w:rFonts w:ascii="標楷體" w:eastAsia="標楷體" w:hAnsi="標楷體" w:hint="eastAsia"/>
          <w:sz w:val="20"/>
        </w:rPr>
        <w:t>號函同意備查</w:t>
      </w:r>
    </w:p>
    <w:p w:rsidR="001F5ADD" w:rsidRDefault="001F5ADD" w:rsidP="001F5ADD">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w:t>
      </w:r>
      <w:r>
        <w:rPr>
          <w:rFonts w:ascii="標楷體" w:eastAsia="標楷體" w:hint="eastAsia"/>
          <w:sz w:val="20"/>
        </w:rPr>
        <w:t>11</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Pr>
          <w:rFonts w:ascii="標楷體" w:eastAsia="標楷體" w:hAnsi="標楷體" w:hint="eastAsia"/>
          <w:sz w:val="20"/>
        </w:rPr>
        <w:t>15</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17</w:t>
      </w:r>
      <w:r w:rsidRPr="00B87515">
        <w:rPr>
          <w:rFonts w:ascii="標楷體" w:eastAsia="標楷體" w:hAnsi="標楷體" w:hint="eastAsia"/>
          <w:sz w:val="20"/>
        </w:rPr>
        <w:t>次聯席會議通過</w:t>
      </w:r>
    </w:p>
    <w:p w:rsidR="001F5ADD" w:rsidRPr="001F5ADD" w:rsidRDefault="001F5ADD" w:rsidP="007D17C8">
      <w:pPr>
        <w:spacing w:line="240" w:lineRule="exact"/>
        <w:ind w:firstLineChars="400" w:firstLine="8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111</w:t>
      </w:r>
      <w:r>
        <w:rPr>
          <w:rFonts w:ascii="標楷體" w:eastAsia="標楷體" w:hAnsi="標楷體" w:hint="eastAsia"/>
          <w:sz w:val="20"/>
        </w:rPr>
        <w:t>年8月22日金融監督管理委員會金管證期字第</w:t>
      </w:r>
      <w:r w:rsidRPr="001F5ADD">
        <w:rPr>
          <w:rFonts w:ascii="標楷體" w:eastAsia="標楷體" w:hAnsi="標楷體"/>
          <w:sz w:val="20"/>
        </w:rPr>
        <w:t>1110341460</w:t>
      </w:r>
      <w:r>
        <w:rPr>
          <w:rFonts w:ascii="標楷體" w:eastAsia="標楷體" w:hAnsi="標楷體" w:hint="eastAsia"/>
          <w:sz w:val="20"/>
        </w:rPr>
        <w:t>號函同意備查</w:t>
      </w:r>
    </w:p>
    <w:p w:rsidR="00B52968" w:rsidRPr="000E2E58" w:rsidRDefault="00B52968" w:rsidP="00B52968">
      <w:pPr>
        <w:spacing w:line="240" w:lineRule="exact"/>
        <w:ind w:firstLineChars="300" w:firstLine="600"/>
        <w:rPr>
          <w:rFonts w:ascii="標楷體" w:eastAsia="標楷體" w:hAnsi="標楷體"/>
          <w:sz w:val="20"/>
          <w:szCs w:val="24"/>
        </w:rPr>
      </w:pPr>
    </w:p>
    <w:p w:rsidR="00B52968" w:rsidRPr="00B449F2" w:rsidRDefault="00B52968" w:rsidP="00B52968">
      <w:pPr>
        <w:pStyle w:val="Layout"/>
        <w:tabs>
          <w:tab w:val="left" w:pos="672"/>
        </w:tabs>
        <w:snapToGrid w:val="0"/>
        <w:ind w:leftChars="-63" w:left="-151" w:firstLineChars="200" w:firstLine="560"/>
        <w:jc w:val="both"/>
        <w:rPr>
          <w:rFonts w:ascii="標楷體" w:eastAsia="標楷體" w:hAnsi="標楷體"/>
          <w:sz w:val="28"/>
          <w:szCs w:val="28"/>
        </w:rPr>
      </w:pPr>
      <w:r w:rsidRPr="00B449F2">
        <w:rPr>
          <w:rFonts w:ascii="標楷體" w:eastAsia="標楷體" w:hAnsi="標楷體"/>
          <w:sz w:val="28"/>
          <w:szCs w:val="28"/>
        </w:rPr>
        <w:t>第 一 章 總則</w:t>
      </w:r>
    </w:p>
    <w:p w:rsidR="00B52968" w:rsidRPr="001F5ADD" w:rsidRDefault="00B52968" w:rsidP="00B52968">
      <w:pPr>
        <w:pStyle w:val="Layout"/>
        <w:numPr>
          <w:ilvl w:val="0"/>
          <w:numId w:val="1"/>
        </w:numPr>
        <w:tabs>
          <w:tab w:val="num" w:pos="1080"/>
        </w:tabs>
        <w:snapToGrid w:val="0"/>
        <w:ind w:left="1077" w:hanging="1230"/>
        <w:jc w:val="both"/>
        <w:rPr>
          <w:rFonts w:ascii="標楷體" w:eastAsia="標楷體" w:hAnsi="標楷體"/>
          <w:sz w:val="28"/>
          <w:szCs w:val="28"/>
        </w:rPr>
      </w:pPr>
      <w:r w:rsidRPr="001F5ADD">
        <w:rPr>
          <w:rFonts w:ascii="標楷體" w:eastAsia="標楷體" w:hAnsi="標楷體"/>
          <w:sz w:val="28"/>
          <w:szCs w:val="28"/>
        </w:rPr>
        <w:t>本作業程序依</w:t>
      </w:r>
      <w:r w:rsidRPr="001F5ADD">
        <w:rPr>
          <w:rFonts w:ascii="標楷體" w:eastAsia="標楷體" w:hAnsi="標楷體" w:hint="eastAsia"/>
          <w:sz w:val="28"/>
          <w:szCs w:val="28"/>
        </w:rPr>
        <w:t>期貨信託基金管理辦</w:t>
      </w:r>
      <w:r w:rsidRPr="001F5ADD">
        <w:rPr>
          <w:rFonts w:ascii="標楷體" w:eastAsia="標楷體" w:hAnsi="標楷體"/>
          <w:sz w:val="28"/>
          <w:szCs w:val="28"/>
        </w:rPr>
        <w:t>法第</w:t>
      </w:r>
      <w:r w:rsidRPr="001F5ADD">
        <w:rPr>
          <w:rFonts w:ascii="標楷體" w:eastAsia="標楷體" w:hAnsi="標楷體" w:hint="eastAsia"/>
          <w:sz w:val="28"/>
          <w:szCs w:val="28"/>
        </w:rPr>
        <w:t>五</w:t>
      </w:r>
      <w:r w:rsidRPr="001F5ADD">
        <w:rPr>
          <w:rFonts w:ascii="標楷體" w:eastAsia="標楷體" w:hAnsi="標楷體"/>
          <w:sz w:val="28"/>
          <w:szCs w:val="28"/>
        </w:rPr>
        <w:t xml:space="preserve">條第二項規定訂定。 </w:t>
      </w:r>
    </w:p>
    <w:p w:rsidR="00B52968" w:rsidRPr="001F5ADD" w:rsidRDefault="00B52968" w:rsidP="00B52968">
      <w:pPr>
        <w:pStyle w:val="Layout"/>
        <w:numPr>
          <w:ilvl w:val="0"/>
          <w:numId w:val="1"/>
        </w:numPr>
        <w:tabs>
          <w:tab w:val="num" w:pos="1080"/>
        </w:tabs>
        <w:snapToGrid w:val="0"/>
        <w:ind w:left="1080" w:hanging="1232"/>
        <w:jc w:val="both"/>
      </w:pPr>
      <w:r w:rsidRPr="001F5ADD">
        <w:rPr>
          <w:rFonts w:ascii="標楷體" w:eastAsia="標楷體" w:hAnsi="標楷體" w:hint="eastAsia"/>
          <w:sz w:val="28"/>
          <w:szCs w:val="28"/>
        </w:rPr>
        <w:t>期貨信託事業及其委任之基金銷售機構辦理期貨信託基金之募集、發行、銷售及其申購或買回作業，應依本作業程序及其他相關法令之規定辦理。</w:t>
      </w:r>
    </w:p>
    <w:p w:rsidR="00B52968" w:rsidRPr="001F5ADD" w:rsidRDefault="00B52968" w:rsidP="00B52968">
      <w:pPr>
        <w:pStyle w:val="Layout"/>
        <w:snapToGrid w:val="0"/>
        <w:ind w:leftChars="459" w:left="1102"/>
        <w:jc w:val="both"/>
      </w:pPr>
      <w:r w:rsidRPr="001F5ADD">
        <w:rPr>
          <w:rFonts w:ascii="標楷體" w:eastAsia="標楷體" w:hAnsi="標楷體" w:cs="細明體"/>
          <w:sz w:val="28"/>
          <w:szCs w:val="28"/>
        </w:rPr>
        <w:t>指數股票型</w:t>
      </w:r>
      <w:r w:rsidRPr="001F5ADD">
        <w:rPr>
          <w:rFonts w:ascii="標楷體" w:eastAsia="標楷體" w:hAnsi="標楷體" w:cs="細明體" w:hint="eastAsia"/>
          <w:sz w:val="28"/>
          <w:szCs w:val="28"/>
        </w:rPr>
        <w:t>期貨</w:t>
      </w:r>
      <w:r w:rsidRPr="001F5ADD">
        <w:rPr>
          <w:rFonts w:ascii="標楷體" w:eastAsia="標楷體" w:hAnsi="標楷體" w:cs="細明體"/>
          <w:sz w:val="28"/>
          <w:szCs w:val="28"/>
        </w:rPr>
        <w:t>信託基金之募集、發行、上市</w:t>
      </w:r>
      <w:r w:rsidRPr="001F5ADD">
        <w:rPr>
          <w:rFonts w:ascii="標楷體" w:eastAsia="標楷體" w:hAnsi="標楷體" w:cs="細明體" w:hint="eastAsia"/>
          <w:sz w:val="28"/>
          <w:szCs w:val="28"/>
        </w:rPr>
        <w:t>櫃</w:t>
      </w:r>
      <w:r w:rsidRPr="001F5ADD">
        <w:rPr>
          <w:rFonts w:ascii="標楷體" w:eastAsia="標楷體" w:hAnsi="標楷體" w:cs="細明體"/>
          <w:sz w:val="28"/>
          <w:szCs w:val="28"/>
        </w:rPr>
        <w:t>及買賣作業，應依本作業程序、臺灣證券交易所股份有限公司（以下簡稱證券交易所）</w:t>
      </w:r>
      <w:r w:rsidRPr="001F5ADD">
        <w:rPr>
          <w:rFonts w:ascii="標楷體" w:eastAsia="標楷體" w:hAnsi="標楷體" w:hint="eastAsia"/>
          <w:sz w:val="28"/>
        </w:rPr>
        <w:t>、</w:t>
      </w:r>
      <w:r w:rsidRPr="001F5ADD">
        <w:rPr>
          <w:rFonts w:ascii="標楷體" w:eastAsia="標楷體" w:hAnsi="標楷體"/>
          <w:sz w:val="28"/>
          <w:szCs w:val="24"/>
        </w:rPr>
        <w:t>財團法人中華民國證券櫃檯買賣中心</w:t>
      </w:r>
      <w:r w:rsidRPr="001F5ADD">
        <w:rPr>
          <w:rFonts w:ascii="標楷體" w:eastAsia="標楷體" w:hAnsi="標楷體" w:hint="eastAsia"/>
          <w:sz w:val="28"/>
        </w:rPr>
        <w:t>（以下簡稱證券櫃檯買賣中心）</w:t>
      </w:r>
      <w:r w:rsidRPr="001F5ADD">
        <w:rPr>
          <w:rFonts w:ascii="標楷體" w:eastAsia="標楷體" w:hAnsi="標楷體" w:cs="細明體"/>
          <w:sz w:val="28"/>
          <w:szCs w:val="28"/>
        </w:rPr>
        <w:t>及相關法令之規定辦理。</w:t>
      </w:r>
      <w:r w:rsidRPr="001F5ADD">
        <w:rPr>
          <w:rFonts w:hint="eastAsia"/>
        </w:rPr>
        <w:t xml:space="preserve">        </w:t>
      </w:r>
    </w:p>
    <w:p w:rsidR="00B52968" w:rsidRPr="001F5ADD" w:rsidRDefault="00B52968" w:rsidP="00B52968">
      <w:pPr>
        <w:pStyle w:val="Layout"/>
        <w:numPr>
          <w:ilvl w:val="0"/>
          <w:numId w:val="1"/>
        </w:numPr>
        <w:tabs>
          <w:tab w:val="num" w:pos="1080"/>
        </w:tabs>
        <w:snapToGrid w:val="0"/>
        <w:ind w:left="1077" w:hanging="1230"/>
        <w:jc w:val="both"/>
        <w:rPr>
          <w:rFonts w:ascii="標楷體" w:eastAsia="標楷體" w:hAnsi="標楷體"/>
          <w:sz w:val="28"/>
          <w:szCs w:val="28"/>
        </w:rPr>
      </w:pPr>
      <w:r w:rsidRPr="001F5ADD">
        <w:rPr>
          <w:rFonts w:ascii="標楷體" w:eastAsia="標楷體" w:hAnsi="標楷體"/>
          <w:sz w:val="28"/>
          <w:szCs w:val="28"/>
        </w:rPr>
        <w:t>期貨信託事業於國外募集期貨信託基金，除應依</w:t>
      </w:r>
      <w:r w:rsidRPr="001F5ADD">
        <w:rPr>
          <w:rFonts w:ascii="標楷體" w:eastAsia="標楷體" w:hAnsi="標楷體" w:hint="eastAsia"/>
          <w:sz w:val="28"/>
          <w:szCs w:val="28"/>
        </w:rPr>
        <w:t>期貨信託基金管理辦法</w:t>
      </w:r>
      <w:r w:rsidRPr="001F5ADD">
        <w:rPr>
          <w:rFonts w:ascii="標楷體" w:eastAsia="標楷體" w:hAnsi="標楷體"/>
          <w:sz w:val="28"/>
          <w:szCs w:val="28"/>
        </w:rPr>
        <w:t>有關規定向金融監督管理委員會（以下簡稱</w:t>
      </w:r>
      <w:r w:rsidRPr="001F5ADD">
        <w:rPr>
          <w:rFonts w:ascii="標楷體" w:eastAsia="標楷體" w:hAnsi="標楷體" w:hint="eastAsia"/>
          <w:sz w:val="28"/>
          <w:szCs w:val="28"/>
        </w:rPr>
        <w:t>金管會</w:t>
      </w:r>
      <w:r w:rsidRPr="001F5ADD">
        <w:rPr>
          <w:rFonts w:ascii="標楷體" w:eastAsia="標楷體" w:hAnsi="標楷體"/>
          <w:sz w:val="28"/>
          <w:szCs w:val="28"/>
        </w:rPr>
        <w:t>）提出申請核准外，關於基金之銷售、申購、買回或於國外證券市場之上市買賣等事宜，應依募集地國主管機關或其他有關法令之規定辦理，其追加募集亦同。</w:t>
      </w:r>
    </w:p>
    <w:p w:rsidR="00B52968" w:rsidRPr="001F5ADD"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1F5ADD">
        <w:rPr>
          <w:rFonts w:ascii="標楷體" w:eastAsia="標楷體" w:hAnsi="標楷體" w:hint="eastAsia"/>
          <w:sz w:val="28"/>
          <w:szCs w:val="28"/>
        </w:rPr>
        <w:t>期貨信託事業、基金銷售機構及其經理人或受雇人，應以善良管理人之注意義務及忠實義務，本誠實信用原則，辦理期貨信託基金之募集、發行、銷售及其申購或買回業務。前項事業及其人員於辦理期貨信託基金之募集、發行、銷售及其申購或買回業務時，對於期貨信託基金客戶之個人資料、往來交易資料及其他相關資料，除法令另有規定外，應保守秘密。</w:t>
      </w:r>
    </w:p>
    <w:p w:rsidR="00B52968" w:rsidRPr="001F5ADD"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1F5ADD">
        <w:rPr>
          <w:rFonts w:ascii="標楷體" w:eastAsia="標楷體" w:hAnsi="標楷體" w:hint="eastAsia"/>
          <w:sz w:val="28"/>
          <w:szCs w:val="28"/>
        </w:rPr>
        <w:lastRenderedPageBreak/>
        <w:t>期貨信託事業及基金銷售機構對於一定金額以上或疑似洗錢之基金交易，其申購、買回或轉換應留存完整正確之交易紀錄及憑證，並應依洗錢防制法規定辦理。</w:t>
      </w:r>
    </w:p>
    <w:p w:rsidR="00B52968" w:rsidRPr="001F5ADD" w:rsidRDefault="00B52968" w:rsidP="00B52968">
      <w:pPr>
        <w:pStyle w:val="Layout"/>
        <w:tabs>
          <w:tab w:val="left" w:pos="672"/>
        </w:tabs>
        <w:snapToGrid w:val="0"/>
        <w:ind w:left="-152"/>
        <w:jc w:val="both"/>
        <w:rPr>
          <w:rFonts w:ascii="標楷體" w:eastAsia="標楷體" w:hAnsi="標楷體"/>
          <w:sz w:val="28"/>
          <w:szCs w:val="28"/>
        </w:rPr>
      </w:pPr>
      <w:r w:rsidRPr="001F5ADD">
        <w:rPr>
          <w:rFonts w:ascii="標楷體" w:eastAsia="標楷體" w:hAnsi="標楷體" w:hint="eastAsia"/>
          <w:sz w:val="28"/>
          <w:szCs w:val="28"/>
        </w:rPr>
        <w:tab/>
      </w:r>
      <w:r w:rsidRPr="001F5ADD">
        <w:rPr>
          <w:rFonts w:ascii="標楷體" w:eastAsia="標楷體" w:hAnsi="標楷體"/>
          <w:sz w:val="28"/>
          <w:szCs w:val="28"/>
        </w:rPr>
        <w:t>第 二 章 基金之募集、發行、銷售及申購</w:t>
      </w:r>
    </w:p>
    <w:p w:rsidR="00B52968" w:rsidRPr="001F5ADD"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1F5ADD">
        <w:rPr>
          <w:rFonts w:ascii="標楷體" w:eastAsia="標楷體" w:hAnsi="標楷體" w:hint="eastAsia"/>
          <w:sz w:val="28"/>
          <w:szCs w:val="28"/>
        </w:rPr>
        <w:t>期貨信託事業對不特定人募集期貨信託基金，應於期貨信託基金經</w:t>
      </w:r>
      <w:r w:rsidRPr="001F5ADD">
        <w:rPr>
          <w:rFonts w:ascii="標楷體" w:eastAsia="標楷體" w:hAnsi="標楷體" w:hint="eastAsia"/>
          <w:sz w:val="28"/>
          <w:szCs w:val="28"/>
          <w:lang w:val="zh-TW"/>
        </w:rPr>
        <w:t>金管會</w:t>
      </w:r>
      <w:r w:rsidRPr="001F5ADD">
        <w:rPr>
          <w:rFonts w:ascii="標楷體" w:eastAsia="標楷體" w:hAnsi="標楷體" w:hint="eastAsia"/>
          <w:sz w:val="28"/>
          <w:szCs w:val="28"/>
        </w:rPr>
        <w:t>核准</w:t>
      </w:r>
      <w:r w:rsidR="00BE4382" w:rsidRPr="001F5ADD">
        <w:rPr>
          <w:rFonts w:ascii="標楷體" w:eastAsia="標楷體" w:hAnsi="標楷體"/>
          <w:sz w:val="28"/>
          <w:szCs w:val="28"/>
        </w:rPr>
        <w:t>或申報生效</w:t>
      </w:r>
      <w:r w:rsidRPr="001F5ADD">
        <w:rPr>
          <w:rFonts w:ascii="標楷體" w:eastAsia="標楷體" w:hAnsi="標楷體" w:hint="eastAsia"/>
          <w:sz w:val="28"/>
          <w:szCs w:val="28"/>
        </w:rPr>
        <w:t>後，開始募集前於期信基金資訊觀測站辦理公告。</w:t>
      </w:r>
    </w:p>
    <w:p w:rsidR="00B52968" w:rsidRPr="001F5ADD" w:rsidRDefault="00B52968" w:rsidP="00B52968">
      <w:pPr>
        <w:pStyle w:val="Layout"/>
        <w:snapToGrid w:val="0"/>
        <w:ind w:leftChars="450" w:left="1080"/>
        <w:jc w:val="both"/>
        <w:rPr>
          <w:rFonts w:ascii="標楷體" w:eastAsia="標楷體" w:hAnsi="標楷體"/>
          <w:sz w:val="28"/>
          <w:szCs w:val="28"/>
        </w:rPr>
      </w:pPr>
      <w:r w:rsidRPr="001F5ADD">
        <w:rPr>
          <w:rFonts w:ascii="標楷體" w:eastAsia="標楷體" w:hAnsi="標楷體" w:hint="eastAsia"/>
          <w:sz w:val="28"/>
          <w:szCs w:val="28"/>
        </w:rPr>
        <w:t>前項公告內容，應記載下列事項：</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一、金管會核准</w:t>
      </w:r>
      <w:r w:rsidR="00BE4382" w:rsidRPr="001F5ADD">
        <w:rPr>
          <w:rFonts w:ascii="標楷體" w:eastAsia="標楷體" w:hAnsi="標楷體" w:cs="Arial"/>
          <w:sz w:val="28"/>
          <w:szCs w:val="28"/>
        </w:rPr>
        <w:t>或申報生效</w:t>
      </w:r>
      <w:r w:rsidRPr="001F5ADD">
        <w:rPr>
          <w:rFonts w:ascii="標楷體" w:eastAsia="標楷體" w:hAnsi="標楷體" w:hint="eastAsia"/>
          <w:sz w:val="28"/>
          <w:szCs w:val="28"/>
        </w:rPr>
        <w:t>之日期及文號。</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二、期貨信託事業之名稱、電話及地址。</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三、銷售機構總行或總公司之名稱、電話及地址。</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四、基金保管機構之名稱及信用評等等級。信託業兼營期貨信託事業經金管會核准得自行保管基金資產者，應載明信託監察人之姓名或名稱。</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五、期貨信託基金之名稱、種類、型態、投資基本方針及範圍。</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六、期貨信託基金開始受理申購及每營業日受理申購截止時間。</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七、客戶應負擔的各項費用及金額或計算基準之表列。</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八、期貨信託基金最高淨發行總面額及受益權單位總數。</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九、期貨信託基金每受益權單位發行價格。</w:t>
      </w:r>
    </w:p>
    <w:p w:rsidR="00B52968" w:rsidRPr="001F5ADD" w:rsidRDefault="00B52968" w:rsidP="00B52968">
      <w:pPr>
        <w:pStyle w:val="Layout"/>
        <w:snapToGrid w:val="0"/>
        <w:ind w:leftChars="450" w:left="1632" w:hangingChars="197" w:hanging="552"/>
        <w:jc w:val="both"/>
        <w:rPr>
          <w:rFonts w:ascii="標楷體" w:eastAsia="標楷體" w:hAnsi="標楷體"/>
          <w:sz w:val="28"/>
          <w:szCs w:val="28"/>
        </w:rPr>
      </w:pPr>
      <w:r w:rsidRPr="001F5ADD">
        <w:rPr>
          <w:rFonts w:ascii="標楷體" w:eastAsia="標楷體" w:hAnsi="標楷體" w:hint="eastAsia"/>
          <w:sz w:val="28"/>
          <w:szCs w:val="28"/>
        </w:rPr>
        <w:t>十、最低申購金額。</w:t>
      </w:r>
    </w:p>
    <w:p w:rsidR="00B52968" w:rsidRPr="001F5ADD" w:rsidRDefault="00B52968" w:rsidP="00B52968">
      <w:pPr>
        <w:pStyle w:val="Layout"/>
        <w:snapToGrid w:val="0"/>
        <w:ind w:leftChars="450" w:left="1917" w:hangingChars="299" w:hanging="837"/>
        <w:jc w:val="both"/>
        <w:rPr>
          <w:rFonts w:ascii="標楷體" w:eastAsia="標楷體" w:hAnsi="標楷體"/>
          <w:sz w:val="28"/>
          <w:szCs w:val="28"/>
        </w:rPr>
      </w:pPr>
      <w:r w:rsidRPr="001F5ADD">
        <w:rPr>
          <w:rFonts w:ascii="標楷體" w:eastAsia="標楷體" w:hAnsi="標楷體" w:hint="eastAsia"/>
          <w:sz w:val="28"/>
          <w:szCs w:val="28"/>
        </w:rPr>
        <w:t>十一、申購價金之計算（含發行價格及申購手續費）。</w:t>
      </w:r>
    </w:p>
    <w:p w:rsidR="00B52968" w:rsidRPr="001F5ADD" w:rsidRDefault="00B52968" w:rsidP="00B52968">
      <w:pPr>
        <w:pStyle w:val="Layout"/>
        <w:snapToGrid w:val="0"/>
        <w:ind w:leftChars="450" w:left="1080"/>
        <w:jc w:val="both"/>
        <w:rPr>
          <w:rFonts w:ascii="標楷體" w:eastAsia="標楷體" w:hAnsi="標楷體"/>
          <w:sz w:val="28"/>
          <w:szCs w:val="28"/>
        </w:rPr>
      </w:pPr>
      <w:r w:rsidRPr="001F5ADD">
        <w:rPr>
          <w:rFonts w:ascii="標楷體" w:eastAsia="標楷體" w:hAnsi="標楷體" w:hint="eastAsia"/>
          <w:sz w:val="28"/>
          <w:szCs w:val="28"/>
        </w:rPr>
        <w:t>十二、申購手續及價金給付方式。</w:t>
      </w:r>
    </w:p>
    <w:p w:rsidR="00B52968" w:rsidRPr="001F5ADD" w:rsidRDefault="00B52968" w:rsidP="00B52968">
      <w:pPr>
        <w:pStyle w:val="Layout"/>
        <w:snapToGrid w:val="0"/>
        <w:ind w:leftChars="450" w:left="1917" w:hangingChars="299" w:hanging="837"/>
        <w:jc w:val="both"/>
        <w:rPr>
          <w:rFonts w:ascii="標楷體" w:eastAsia="標楷體" w:hAnsi="標楷體"/>
          <w:sz w:val="28"/>
          <w:szCs w:val="28"/>
        </w:rPr>
      </w:pPr>
      <w:r w:rsidRPr="001F5ADD">
        <w:rPr>
          <w:rFonts w:ascii="標楷體" w:eastAsia="標楷體" w:hAnsi="標楷體" w:hint="eastAsia"/>
          <w:sz w:val="28"/>
          <w:szCs w:val="28"/>
        </w:rPr>
        <w:t>十三、公開說明書之分送方式或取閱地點。</w:t>
      </w:r>
    </w:p>
    <w:p w:rsidR="00B52968" w:rsidRPr="001F5ADD" w:rsidRDefault="00B52968" w:rsidP="00B52968">
      <w:pPr>
        <w:pStyle w:val="Layout"/>
        <w:snapToGrid w:val="0"/>
        <w:ind w:leftChars="450" w:left="1917" w:hangingChars="299" w:hanging="837"/>
        <w:jc w:val="both"/>
        <w:rPr>
          <w:rFonts w:ascii="標楷體" w:eastAsia="標楷體" w:hAnsi="標楷體"/>
          <w:sz w:val="28"/>
          <w:szCs w:val="28"/>
        </w:rPr>
      </w:pPr>
      <w:r w:rsidRPr="001F5ADD">
        <w:rPr>
          <w:rFonts w:ascii="標楷體" w:eastAsia="標楷體" w:hAnsi="標楷體" w:hint="eastAsia"/>
          <w:sz w:val="28"/>
          <w:szCs w:val="28"/>
        </w:rPr>
        <w:t>十四、投資風險警語。</w:t>
      </w:r>
    </w:p>
    <w:p w:rsidR="00B52968" w:rsidRPr="001F5ADD" w:rsidRDefault="00B52968" w:rsidP="00B52968">
      <w:pPr>
        <w:pStyle w:val="Layout"/>
        <w:tabs>
          <w:tab w:val="left" w:pos="672"/>
        </w:tabs>
        <w:snapToGrid w:val="0"/>
        <w:ind w:leftChars="450" w:left="1917" w:hangingChars="299" w:hanging="837"/>
        <w:jc w:val="both"/>
        <w:rPr>
          <w:rFonts w:ascii="標楷體" w:eastAsia="標楷體" w:hAnsi="標楷體"/>
          <w:sz w:val="28"/>
          <w:szCs w:val="28"/>
        </w:rPr>
      </w:pPr>
      <w:r w:rsidRPr="001F5ADD">
        <w:rPr>
          <w:rFonts w:ascii="標楷體" w:eastAsia="標楷體" w:hAnsi="標楷體" w:hint="eastAsia"/>
          <w:sz w:val="28"/>
          <w:szCs w:val="28"/>
        </w:rPr>
        <w:t>十五、其他金管會為保護公益及客戶規定應補充揭露事項。</w:t>
      </w:r>
    </w:p>
    <w:p w:rsidR="00B52968" w:rsidRPr="001F5ADD"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1F5ADD">
        <w:rPr>
          <w:rFonts w:ascii="標楷體" w:eastAsia="標楷體" w:hAnsi="標楷體" w:hint="eastAsia"/>
          <w:sz w:val="28"/>
          <w:szCs w:val="28"/>
        </w:rPr>
        <w:t>期貨信託事業募集期貨信託基金，應於開始募集三日前，將公開說明書之電子檔案向金管會指定之資訊申報網站進行傳輸。</w:t>
      </w:r>
    </w:p>
    <w:p w:rsidR="00B52968" w:rsidRPr="001F5ADD"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1F5ADD">
        <w:rPr>
          <w:rFonts w:ascii="標楷體" w:eastAsia="標楷體" w:hAnsi="標楷體" w:hint="eastAsia"/>
          <w:sz w:val="28"/>
          <w:szCs w:val="28"/>
        </w:rPr>
        <w:t>期貨信託事業經核發營業執照後，除他業兼營期貨信託事業者外，首次申請募集之期貨信託基金應自開始募集日起四十五日內募集成立。</w:t>
      </w:r>
    </w:p>
    <w:p w:rsidR="00B52968" w:rsidRPr="001F5ADD" w:rsidRDefault="00B52968" w:rsidP="00B52968">
      <w:pPr>
        <w:pStyle w:val="Layout"/>
        <w:snapToGrid w:val="0"/>
        <w:ind w:leftChars="450" w:left="1080"/>
        <w:jc w:val="both"/>
        <w:rPr>
          <w:rFonts w:ascii="標楷體" w:eastAsia="標楷體" w:hAnsi="標楷體"/>
          <w:sz w:val="28"/>
          <w:szCs w:val="28"/>
        </w:rPr>
      </w:pPr>
      <w:r w:rsidRPr="001F5ADD">
        <w:rPr>
          <w:rFonts w:ascii="標楷體" w:eastAsia="標楷體" w:hAnsi="標楷體" w:hint="eastAsia"/>
          <w:sz w:val="28"/>
          <w:szCs w:val="28"/>
        </w:rPr>
        <w:t>期貨信託事業對不特定人募集之期貨信託基金，除前項情形者外，應自開始募集日起三十日內募集成立。</w:t>
      </w:r>
    </w:p>
    <w:p w:rsidR="00B52968" w:rsidRPr="001F5ADD" w:rsidRDefault="00B52968" w:rsidP="00B52968">
      <w:pPr>
        <w:pStyle w:val="Layout"/>
        <w:snapToGrid w:val="0"/>
        <w:ind w:leftChars="450" w:left="1080"/>
        <w:jc w:val="both"/>
        <w:rPr>
          <w:rFonts w:ascii="標楷體" w:eastAsia="標楷體" w:hAnsi="標楷體"/>
          <w:sz w:val="28"/>
          <w:szCs w:val="28"/>
        </w:rPr>
      </w:pPr>
      <w:r w:rsidRPr="001F5ADD">
        <w:rPr>
          <w:rFonts w:ascii="標楷體" w:eastAsia="標楷體" w:hAnsi="標楷體" w:hint="eastAsia"/>
          <w:sz w:val="28"/>
          <w:szCs w:val="28"/>
        </w:rPr>
        <w:t>期貨信託基金於前二項規定之期間，募足最低淨發行總面額，應由期貨信託事業檢具清冊（包括受益憑證申購人姓名、受益權單位數及金額）、受益憑證價款繳款總金額達期貨信託基金最低募集金額之銀行存款證明，於受益憑證價款繳納完成日起五日內，向金管會申報。對符合一定資格條件之人募集期貨信託基金，除上述書件外，向金管會申報時，另需檢具受益人符合期貨信託基金管理辦法第十三條第一項所定資格條件之聲明書。募足最高淨發行總面額時應向本公會申報轉報金管會。</w:t>
      </w:r>
    </w:p>
    <w:p w:rsidR="00B52968" w:rsidRPr="001F5ADD" w:rsidRDefault="00B52968" w:rsidP="00B52968">
      <w:pPr>
        <w:pStyle w:val="Layout"/>
        <w:snapToGrid w:val="0"/>
        <w:ind w:leftChars="450" w:left="1080"/>
        <w:jc w:val="both"/>
        <w:rPr>
          <w:rFonts w:ascii="標楷體" w:eastAsia="標楷體" w:hAnsi="標楷體"/>
          <w:sz w:val="28"/>
          <w:szCs w:val="28"/>
        </w:rPr>
      </w:pPr>
      <w:r w:rsidRPr="001F5ADD">
        <w:rPr>
          <w:rFonts w:ascii="標楷體" w:eastAsia="標楷體" w:hAnsi="標楷體" w:hint="eastAsia"/>
          <w:sz w:val="28"/>
          <w:szCs w:val="28"/>
        </w:rPr>
        <w:t>期貨信託基金於第一項及第二項期間內募集之受益憑證淨發行總面額未達最高淨發行總面額部分，於該期間屆滿後仍得繼續發行受益憑證銷售之。</w:t>
      </w:r>
    </w:p>
    <w:p w:rsidR="00B52968" w:rsidRPr="001F5ADD" w:rsidRDefault="00B52968" w:rsidP="00B52968">
      <w:pPr>
        <w:pStyle w:val="Layout"/>
        <w:snapToGrid w:val="0"/>
        <w:ind w:leftChars="450" w:left="1080"/>
        <w:jc w:val="both"/>
        <w:rPr>
          <w:rFonts w:ascii="標楷體" w:eastAsia="標楷體" w:hAnsi="標楷體"/>
          <w:sz w:val="28"/>
          <w:szCs w:val="28"/>
        </w:rPr>
      </w:pPr>
      <w:r w:rsidRPr="001F5ADD">
        <w:rPr>
          <w:rFonts w:ascii="標楷體" w:eastAsia="標楷體" w:hAnsi="標楷體" w:hint="eastAsia"/>
          <w:sz w:val="28"/>
          <w:szCs w:val="28"/>
        </w:rPr>
        <w:t>期貨信託事業對不特定人募集期貨信託基金，</w:t>
      </w:r>
      <w:r w:rsidRPr="001F5ADD">
        <w:rPr>
          <w:rFonts w:ascii="標楷體" w:eastAsia="標楷體" w:hAnsi="標楷體" w:cs="細明體"/>
          <w:sz w:val="28"/>
          <w:szCs w:val="28"/>
        </w:rPr>
        <w:t>除主管機關另有規定外，</w:t>
      </w:r>
      <w:r w:rsidRPr="001F5ADD">
        <w:rPr>
          <w:rFonts w:ascii="標楷體" w:eastAsia="標楷體" w:hAnsi="標楷體"/>
          <w:sz w:val="28"/>
          <w:szCs w:val="28"/>
        </w:rPr>
        <w:t>申</w:t>
      </w:r>
      <w:r w:rsidR="003A35F8" w:rsidRPr="001F5ADD">
        <w:rPr>
          <w:rFonts w:ascii="標楷體" w:eastAsia="標楷體" w:hAnsi="標楷體" w:cs="Arial"/>
          <w:sz w:val="28"/>
          <w:szCs w:val="28"/>
        </w:rPr>
        <w:t>報</w:t>
      </w:r>
      <w:r w:rsidRPr="001F5ADD">
        <w:rPr>
          <w:rFonts w:ascii="標楷體" w:eastAsia="標楷體" w:hAnsi="標楷體" w:cs="細明體"/>
          <w:sz w:val="28"/>
          <w:szCs w:val="28"/>
        </w:rPr>
        <w:t>日前五個營業日平均已發行單位數占原申請核准</w:t>
      </w:r>
      <w:r w:rsidR="00ED68A3" w:rsidRPr="001F5ADD">
        <w:rPr>
          <w:rFonts w:ascii="標楷體" w:eastAsia="標楷體" w:hAnsi="標楷體" w:cs="Arial" w:hint="eastAsia"/>
          <w:sz w:val="28"/>
          <w:szCs w:val="24"/>
        </w:rPr>
        <w:t>及申報生效</w:t>
      </w:r>
      <w:r w:rsidRPr="001F5ADD">
        <w:rPr>
          <w:rFonts w:ascii="標楷體" w:eastAsia="標楷體" w:hAnsi="標楷體" w:cs="細明體"/>
          <w:sz w:val="28"/>
          <w:szCs w:val="28"/>
        </w:rPr>
        <w:t>發行單位數之比率達百分之八十以上者，得</w:t>
      </w:r>
      <w:r w:rsidR="0027368A" w:rsidRPr="001F5ADD">
        <w:rPr>
          <w:rFonts w:ascii="標楷體" w:eastAsia="標楷體" w:hAnsi="標楷體" w:cs="Arial" w:hint="eastAsia"/>
          <w:sz w:val="28"/>
          <w:szCs w:val="28"/>
        </w:rPr>
        <w:t>辦理</w:t>
      </w:r>
      <w:r w:rsidRPr="001F5ADD">
        <w:rPr>
          <w:rFonts w:ascii="標楷體" w:eastAsia="標楷體" w:hAnsi="標楷體" w:cs="細明體"/>
          <w:sz w:val="28"/>
          <w:szCs w:val="28"/>
        </w:rPr>
        <w:t>追加募集</w:t>
      </w:r>
      <w:r w:rsidRPr="001F5ADD">
        <w:rPr>
          <w:rFonts w:ascii="標楷體" w:eastAsia="標楷體" w:hAnsi="標楷體" w:cs="細明體" w:hint="eastAsia"/>
          <w:sz w:val="28"/>
          <w:szCs w:val="28"/>
        </w:rPr>
        <w:t>。</w:t>
      </w:r>
    </w:p>
    <w:p w:rsidR="00B52968" w:rsidRPr="001F5ADD" w:rsidRDefault="00B52968" w:rsidP="00B52968">
      <w:pPr>
        <w:pStyle w:val="Layout"/>
        <w:snapToGrid w:val="0"/>
        <w:ind w:left="1123" w:hanging="1276"/>
        <w:jc w:val="both"/>
        <w:rPr>
          <w:rFonts w:ascii="標楷體" w:eastAsia="標楷體" w:hAnsi="標楷體"/>
          <w:sz w:val="28"/>
          <w:szCs w:val="28"/>
        </w:rPr>
      </w:pPr>
      <w:r w:rsidRPr="001F5ADD">
        <w:rPr>
          <w:rFonts w:ascii="標楷體" w:eastAsia="標楷體" w:hAnsi="標楷體" w:hint="eastAsia"/>
          <w:sz w:val="28"/>
          <w:szCs w:val="28"/>
        </w:rPr>
        <w:t>第九條   對不特定人募集之期貨信託基金，期貨信託事業得自行銷售或委任符合期貨信託基金管理辦法所定資格條件之期貨經紀商、期貨顧問事業、銀行、信託業、證券經紀商、證券投資顧問事業</w:t>
      </w:r>
      <w:r w:rsidRPr="001F5ADD">
        <w:rPr>
          <w:rFonts w:ascii="標楷體" w:eastAsia="標楷體" w:hAnsi="標楷體" w:hint="eastAsia"/>
          <w:sz w:val="28"/>
        </w:rPr>
        <w:t>、人身保險業</w:t>
      </w:r>
      <w:r w:rsidRPr="001F5ADD">
        <w:rPr>
          <w:rFonts w:ascii="標楷體" w:eastAsia="標楷體" w:hAnsi="標楷體" w:hint="eastAsia"/>
          <w:sz w:val="28"/>
          <w:szCs w:val="28"/>
        </w:rPr>
        <w:t>及其他經金管會核定之機構，擔任基金銷售機構辦理基金銷售事宜。</w:t>
      </w:r>
    </w:p>
    <w:p w:rsidR="00B52968" w:rsidRPr="001F5ADD" w:rsidRDefault="00B52968" w:rsidP="00B52968">
      <w:pPr>
        <w:pStyle w:val="Layout"/>
        <w:snapToGrid w:val="0"/>
        <w:ind w:leftChars="470" w:left="1128"/>
        <w:jc w:val="both"/>
        <w:rPr>
          <w:rFonts w:ascii="標楷體" w:eastAsia="標楷體" w:hAnsi="標楷體"/>
          <w:sz w:val="28"/>
          <w:szCs w:val="28"/>
        </w:rPr>
      </w:pPr>
      <w:r w:rsidRPr="001F5ADD">
        <w:rPr>
          <w:rFonts w:ascii="標楷體" w:eastAsia="標楷體" w:hAnsi="標楷體" w:hint="eastAsia"/>
          <w:sz w:val="28"/>
          <w:szCs w:val="28"/>
        </w:rPr>
        <w:t>信託業擔任前項基金銷售機構者，得與客戶簽訂特定金錢信託契約為之。</w:t>
      </w:r>
    </w:p>
    <w:p w:rsidR="00B52968" w:rsidRPr="001F5ADD" w:rsidRDefault="00B52968" w:rsidP="00B52968">
      <w:pPr>
        <w:pStyle w:val="Layout"/>
        <w:snapToGrid w:val="0"/>
        <w:ind w:leftChars="470" w:left="1128"/>
        <w:jc w:val="both"/>
        <w:rPr>
          <w:rFonts w:ascii="標楷體" w:eastAsia="標楷體" w:hAnsi="標楷體"/>
          <w:strike/>
          <w:sz w:val="28"/>
          <w:szCs w:val="28"/>
        </w:rPr>
      </w:pPr>
      <w:r w:rsidRPr="001F5ADD">
        <w:rPr>
          <w:rFonts w:ascii="標楷體" w:eastAsia="標楷體" w:hAnsi="標楷體" w:hint="eastAsia"/>
          <w:sz w:val="28"/>
          <w:szCs w:val="28"/>
        </w:rPr>
        <w:t>基金銷售機構除依特定金錢信託方式或經金管會核准者外，不得以自己名義為客戶申購期貨信託基金。</w:t>
      </w:r>
    </w:p>
    <w:p w:rsidR="00B52968" w:rsidRPr="001F5ADD" w:rsidRDefault="00B52968" w:rsidP="00B52968">
      <w:pPr>
        <w:pStyle w:val="Layout"/>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 xml:space="preserve">第九條之一   </w:t>
      </w:r>
      <w:r w:rsidRPr="001F5ADD">
        <w:rPr>
          <w:rFonts w:ascii="標楷體" w:eastAsia="標楷體" w:hAnsi="標楷體"/>
          <w:sz w:val="28"/>
          <w:szCs w:val="28"/>
        </w:rPr>
        <w:t>證券經紀商以基金款項收付專戶為投資人申購</w:t>
      </w:r>
      <w:r w:rsidRPr="001F5ADD">
        <w:rPr>
          <w:rFonts w:ascii="標楷體" w:eastAsia="標楷體" w:hAnsi="標楷體" w:hint="eastAsia"/>
          <w:sz w:val="28"/>
          <w:szCs w:val="28"/>
        </w:rPr>
        <w:t>期貨</w:t>
      </w:r>
      <w:r w:rsidRPr="001F5ADD">
        <w:rPr>
          <w:rFonts w:ascii="標楷體" w:eastAsia="標楷體" w:hAnsi="標楷體"/>
          <w:sz w:val="28"/>
          <w:szCs w:val="28"/>
        </w:rPr>
        <w:t>信託基金</w:t>
      </w:r>
      <w:r w:rsidRPr="001F5ADD">
        <w:rPr>
          <w:rFonts w:ascii="標楷體" w:eastAsia="標楷體" w:hAnsi="標楷體" w:cs="Arial"/>
          <w:sz w:val="28"/>
          <w:szCs w:val="28"/>
          <w:shd w:val="clear" w:color="auto" w:fill="FFFFFF"/>
        </w:rPr>
        <w:t>或透過證券集中保管事業指定之銀行專戶辦理款項收付</w:t>
      </w:r>
      <w:r w:rsidRPr="001F5ADD">
        <w:rPr>
          <w:rFonts w:ascii="標楷體" w:eastAsia="標楷體" w:hAnsi="標楷體"/>
          <w:sz w:val="28"/>
          <w:szCs w:val="28"/>
        </w:rPr>
        <w:t>者，應先經投資人同意，始得以自己名義為投資人申購</w:t>
      </w:r>
      <w:r w:rsidRPr="001F5ADD">
        <w:rPr>
          <w:rFonts w:ascii="標楷體" w:eastAsia="標楷體" w:hAnsi="標楷體" w:hint="eastAsia"/>
          <w:sz w:val="28"/>
          <w:szCs w:val="28"/>
        </w:rPr>
        <w:t>期貨</w:t>
      </w:r>
      <w:r w:rsidRPr="001F5ADD">
        <w:rPr>
          <w:rFonts w:ascii="標楷體" w:eastAsia="標楷體" w:hAnsi="標楷體"/>
          <w:sz w:val="28"/>
          <w:szCs w:val="28"/>
        </w:rPr>
        <w:t>信託基金，並應與證券集中保管事業簽訂契約，以辦理投資人申購、買回、轉換、孳息分派、清算等事項之資訊傳輸</w:t>
      </w:r>
      <w:r w:rsidRPr="001F5ADD">
        <w:rPr>
          <w:rFonts w:ascii="標楷體" w:eastAsia="標楷體" w:hAnsi="標楷體" w:hint="eastAsia"/>
          <w:sz w:val="28"/>
          <w:szCs w:val="28"/>
        </w:rPr>
        <w:t>及款項之收</w:t>
      </w:r>
      <w:r w:rsidRPr="001F5ADD">
        <w:rPr>
          <w:rFonts w:ascii="標楷體" w:eastAsia="標楷體" w:hAnsi="標楷體" w:hint="eastAsia"/>
          <w:sz w:val="28"/>
          <w:szCs w:val="24"/>
        </w:rPr>
        <w:t>付</w:t>
      </w:r>
      <w:r w:rsidRPr="001F5ADD">
        <w:rPr>
          <w:rFonts w:ascii="標楷體" w:eastAsia="標楷體" w:hAnsi="標楷體"/>
          <w:sz w:val="28"/>
          <w:szCs w:val="24"/>
        </w:rPr>
        <w:t>。</w:t>
      </w:r>
    </w:p>
    <w:p w:rsidR="00B52968" w:rsidRPr="001F5ADD" w:rsidRDefault="00B52968" w:rsidP="00B52968">
      <w:pPr>
        <w:pStyle w:val="Layout"/>
        <w:snapToGrid w:val="0"/>
        <w:ind w:left="1123" w:hanging="1276"/>
        <w:jc w:val="both"/>
        <w:rPr>
          <w:rFonts w:ascii="標楷體" w:eastAsia="標楷體" w:hAnsi="標楷體"/>
          <w:sz w:val="28"/>
          <w:szCs w:val="28"/>
        </w:rPr>
      </w:pPr>
      <w:r w:rsidRPr="001F5ADD">
        <w:rPr>
          <w:rFonts w:ascii="標楷體" w:eastAsia="標楷體" w:hAnsi="標楷體" w:hint="eastAsia"/>
          <w:sz w:val="28"/>
          <w:szCs w:val="28"/>
        </w:rPr>
        <w:t>第十條   期貨信託事業委任基金銷售機構辦理基金銷售業務，應與基金銷售機構簽訂銷售契約，載明雙方權利與義務。</w:t>
      </w:r>
    </w:p>
    <w:p w:rsidR="00B52968" w:rsidRPr="001F5ADD" w:rsidRDefault="00B52968" w:rsidP="00B52968">
      <w:pPr>
        <w:pStyle w:val="Layout"/>
        <w:snapToGrid w:val="0"/>
        <w:ind w:leftChars="470" w:left="1128"/>
        <w:jc w:val="both"/>
        <w:rPr>
          <w:rFonts w:ascii="標楷體" w:eastAsia="標楷體" w:hAnsi="標楷體"/>
          <w:sz w:val="28"/>
          <w:szCs w:val="28"/>
        </w:rPr>
      </w:pPr>
      <w:r w:rsidRPr="001F5ADD">
        <w:rPr>
          <w:rFonts w:ascii="標楷體" w:eastAsia="標楷體" w:hAnsi="標楷體" w:hint="eastAsia"/>
          <w:sz w:val="28"/>
          <w:szCs w:val="28"/>
        </w:rPr>
        <w:t>前項銷售契約應載明下列事項：</w:t>
      </w:r>
    </w:p>
    <w:p w:rsidR="00B52968" w:rsidRPr="001F5ADD" w:rsidRDefault="00B52968" w:rsidP="00B52968">
      <w:pPr>
        <w:pStyle w:val="Layout"/>
        <w:snapToGrid w:val="0"/>
        <w:ind w:leftChars="470" w:left="1386" w:hangingChars="92" w:hanging="258"/>
        <w:jc w:val="both"/>
        <w:rPr>
          <w:rFonts w:ascii="標楷體" w:eastAsia="標楷體" w:hAnsi="標楷體"/>
          <w:sz w:val="28"/>
          <w:szCs w:val="28"/>
        </w:rPr>
      </w:pPr>
      <w:r w:rsidRPr="001F5ADD">
        <w:rPr>
          <w:rFonts w:ascii="標楷體" w:eastAsia="標楷體" w:hAnsi="標楷體" w:hint="eastAsia"/>
          <w:sz w:val="28"/>
          <w:szCs w:val="28"/>
        </w:rPr>
        <w:t>一、期貨信託事業及基金銷售機構之名稱、地址及負責人姓名。</w:t>
      </w:r>
    </w:p>
    <w:p w:rsidR="00B52968" w:rsidRPr="001F5ADD" w:rsidRDefault="00B52968" w:rsidP="00B52968">
      <w:pPr>
        <w:pStyle w:val="Layout"/>
        <w:snapToGrid w:val="0"/>
        <w:ind w:leftChars="470" w:left="1386" w:hangingChars="92" w:hanging="258"/>
        <w:jc w:val="both"/>
        <w:rPr>
          <w:rFonts w:ascii="標楷體" w:eastAsia="標楷體" w:hAnsi="標楷體"/>
          <w:sz w:val="28"/>
          <w:szCs w:val="28"/>
        </w:rPr>
      </w:pPr>
      <w:r w:rsidRPr="001F5ADD">
        <w:rPr>
          <w:rFonts w:ascii="標楷體" w:eastAsia="標楷體" w:hAnsi="標楷體" w:hint="eastAsia"/>
          <w:sz w:val="28"/>
          <w:szCs w:val="28"/>
        </w:rPr>
        <w:t>二、期貨信託事業及基金銷售機構之權利、義務及責任歸屬。</w:t>
      </w:r>
    </w:p>
    <w:p w:rsidR="00B52968" w:rsidRPr="001F5ADD" w:rsidRDefault="00B52968" w:rsidP="00B52968">
      <w:pPr>
        <w:pStyle w:val="Layout"/>
        <w:snapToGrid w:val="0"/>
        <w:ind w:leftChars="470" w:left="1688" w:hangingChars="200" w:hanging="560"/>
        <w:jc w:val="both"/>
        <w:rPr>
          <w:rFonts w:ascii="標楷體" w:eastAsia="標楷體" w:hAnsi="標楷體"/>
          <w:sz w:val="28"/>
          <w:szCs w:val="28"/>
        </w:rPr>
      </w:pPr>
      <w:r w:rsidRPr="001F5ADD">
        <w:rPr>
          <w:rFonts w:ascii="標楷體" w:eastAsia="標楷體" w:hAnsi="標楷體" w:hint="eastAsia"/>
          <w:sz w:val="28"/>
          <w:szCs w:val="28"/>
        </w:rPr>
        <w:t>三、基金銷售機構及其人員辦理期貨信託基金銷售業務，應遵守期貨信託基金之募集、發行、銷售、廣告及其申購或買回之相關法令及本公會自律規範規定。對於銷售機構或銷售人員（包含推廣、銷售、風險告知等人員）之違法情事，期貨信託事業或期貨信託基金銷售機構應通知本公會，由本公會依自律規範予以處理。</w:t>
      </w:r>
    </w:p>
    <w:p w:rsidR="00B52968" w:rsidRPr="001F5ADD" w:rsidRDefault="00B52968" w:rsidP="00B52968">
      <w:pPr>
        <w:pStyle w:val="Layout"/>
        <w:snapToGrid w:val="0"/>
        <w:ind w:leftChars="470" w:left="1688" w:hangingChars="200" w:hanging="560"/>
        <w:jc w:val="both"/>
        <w:rPr>
          <w:rFonts w:ascii="標楷體" w:eastAsia="標楷體" w:hAnsi="標楷體"/>
          <w:sz w:val="28"/>
          <w:szCs w:val="28"/>
        </w:rPr>
      </w:pPr>
      <w:r w:rsidRPr="001F5ADD">
        <w:rPr>
          <w:rFonts w:ascii="標楷體" w:eastAsia="標楷體" w:hAnsi="標楷體" w:hint="eastAsia"/>
          <w:sz w:val="28"/>
          <w:szCs w:val="28"/>
        </w:rPr>
        <w:t>四、期貨信託事業委任基金銷售機構辦理事項。</w:t>
      </w:r>
    </w:p>
    <w:p w:rsidR="00B52968" w:rsidRPr="001F5ADD" w:rsidRDefault="00B52968" w:rsidP="00B52968">
      <w:pPr>
        <w:pStyle w:val="Layout"/>
        <w:snapToGrid w:val="0"/>
        <w:ind w:leftChars="470" w:left="1688" w:hangingChars="200" w:hanging="560"/>
        <w:jc w:val="both"/>
        <w:rPr>
          <w:rFonts w:ascii="標楷體" w:eastAsia="標楷體" w:hAnsi="標楷體"/>
          <w:sz w:val="28"/>
          <w:szCs w:val="28"/>
        </w:rPr>
      </w:pPr>
      <w:r w:rsidRPr="001F5ADD">
        <w:rPr>
          <w:rFonts w:ascii="標楷體" w:eastAsia="標楷體" w:hAnsi="標楷體" w:hint="eastAsia"/>
          <w:sz w:val="28"/>
          <w:szCs w:val="28"/>
        </w:rPr>
        <w:t>五、最低受理申購金額及買回限制。</w:t>
      </w:r>
    </w:p>
    <w:p w:rsidR="00B52968" w:rsidRPr="001F5ADD" w:rsidRDefault="00B52968" w:rsidP="00B52968">
      <w:pPr>
        <w:pStyle w:val="Layout"/>
        <w:snapToGrid w:val="0"/>
        <w:ind w:leftChars="470" w:left="1688" w:hangingChars="200" w:hanging="560"/>
        <w:jc w:val="both"/>
        <w:rPr>
          <w:rFonts w:ascii="標楷體" w:eastAsia="標楷體" w:hAnsi="標楷體"/>
          <w:sz w:val="28"/>
          <w:szCs w:val="28"/>
        </w:rPr>
      </w:pPr>
      <w:r w:rsidRPr="001F5ADD">
        <w:rPr>
          <w:rFonts w:ascii="標楷體" w:eastAsia="標楷體" w:hAnsi="標楷體" w:hint="eastAsia"/>
          <w:sz w:val="28"/>
          <w:szCs w:val="28"/>
        </w:rPr>
        <w:t>六、申購或買回申請書件及其價金之給付方式與款項轉入基金保管機構設立之基金專戶。</w:t>
      </w:r>
    </w:p>
    <w:p w:rsidR="00B52968" w:rsidRPr="001F5ADD" w:rsidRDefault="00B52968" w:rsidP="00B52968">
      <w:pPr>
        <w:pStyle w:val="Layout"/>
        <w:snapToGrid w:val="0"/>
        <w:ind w:leftChars="470" w:left="1688" w:hangingChars="200" w:hanging="560"/>
        <w:jc w:val="both"/>
        <w:rPr>
          <w:rFonts w:ascii="標楷體" w:eastAsia="標楷體" w:hAnsi="標楷體"/>
          <w:sz w:val="28"/>
          <w:szCs w:val="28"/>
        </w:rPr>
      </w:pPr>
      <w:r w:rsidRPr="001F5ADD">
        <w:rPr>
          <w:rFonts w:ascii="標楷體" w:eastAsia="標楷體" w:hAnsi="標楷體" w:hint="eastAsia"/>
          <w:sz w:val="28"/>
          <w:szCs w:val="28"/>
        </w:rPr>
        <w:t>七、每營業日受理申購或買回申請截止時間，及對逾時申請案件之認定及處理方式。</w:t>
      </w:r>
    </w:p>
    <w:p w:rsidR="00B52968" w:rsidRPr="001F5ADD" w:rsidRDefault="00B52968" w:rsidP="00B52968">
      <w:pPr>
        <w:pStyle w:val="Layout"/>
        <w:snapToGrid w:val="0"/>
        <w:ind w:leftChars="470" w:left="1688" w:hangingChars="200" w:hanging="560"/>
        <w:jc w:val="both"/>
        <w:rPr>
          <w:rFonts w:ascii="標楷體" w:eastAsia="標楷體" w:hAnsi="標楷體"/>
          <w:sz w:val="28"/>
          <w:szCs w:val="28"/>
        </w:rPr>
      </w:pPr>
      <w:r w:rsidRPr="001F5ADD">
        <w:rPr>
          <w:rFonts w:ascii="標楷體" w:eastAsia="標楷體" w:hAnsi="標楷體" w:hint="eastAsia"/>
          <w:sz w:val="28"/>
          <w:szCs w:val="28"/>
        </w:rPr>
        <w:t>八、基金銷售機構配合執行基金公開說明書所載短線交易防制措施之應辦事項。</w:t>
      </w:r>
    </w:p>
    <w:p w:rsidR="00B52968" w:rsidRPr="001F5ADD" w:rsidRDefault="00B52968" w:rsidP="00B52968">
      <w:pPr>
        <w:pStyle w:val="Layout"/>
        <w:snapToGrid w:val="0"/>
        <w:ind w:leftChars="470" w:left="1688" w:hangingChars="200" w:hanging="560"/>
        <w:jc w:val="both"/>
        <w:rPr>
          <w:rFonts w:ascii="標楷體" w:eastAsia="標楷體" w:hAnsi="標楷體"/>
          <w:sz w:val="28"/>
          <w:szCs w:val="28"/>
        </w:rPr>
      </w:pPr>
      <w:r w:rsidRPr="001F5ADD">
        <w:rPr>
          <w:rFonts w:ascii="標楷體" w:eastAsia="標楷體" w:hAnsi="標楷體" w:hint="eastAsia"/>
          <w:sz w:val="28"/>
          <w:szCs w:val="28"/>
        </w:rPr>
        <w:t>九、期貨信託事業對基金銷售機構以自己名義為客戶申購基金所提供所屬客戶短線交易資料，所應負之保密義務與損害賠償責任。</w:t>
      </w:r>
    </w:p>
    <w:p w:rsidR="00B52968" w:rsidRPr="001F5ADD" w:rsidRDefault="00B52968" w:rsidP="00B52968">
      <w:pPr>
        <w:pStyle w:val="Layout"/>
        <w:snapToGrid w:val="0"/>
        <w:ind w:leftChars="470" w:left="1688" w:hangingChars="200" w:hanging="560"/>
        <w:jc w:val="both"/>
        <w:rPr>
          <w:rFonts w:ascii="標楷體" w:eastAsia="標楷體" w:hAnsi="標楷體"/>
          <w:sz w:val="28"/>
          <w:szCs w:val="28"/>
        </w:rPr>
      </w:pPr>
      <w:r w:rsidRPr="001F5ADD">
        <w:rPr>
          <w:rFonts w:ascii="標楷體" w:eastAsia="標楷體" w:hAnsi="標楷體" w:hint="eastAsia"/>
          <w:sz w:val="28"/>
          <w:szCs w:val="28"/>
        </w:rPr>
        <w:t>十、期貨信託事業及其基金銷售機構應公平對待所有客戶（包含對短線交易及延遲交易之處理及拒絕短線交易客戶之新增申購或其它與所有客戶權益有關事項）。</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十一、基金銷售機構執行洗錢防制之應辦事項。</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十二、基金銷售機構及其辦理基金銷售業務之人員之禁止行為。</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十三、基金銷售作業程序。</w:t>
      </w:r>
    </w:p>
    <w:p w:rsidR="00B52968" w:rsidRPr="001F5ADD" w:rsidRDefault="00B52968" w:rsidP="00B52968">
      <w:pPr>
        <w:pStyle w:val="Layout"/>
        <w:snapToGrid w:val="0"/>
        <w:ind w:leftChars="470" w:left="1968" w:hangingChars="300" w:hanging="840"/>
        <w:jc w:val="both"/>
        <w:rPr>
          <w:rFonts w:ascii="標楷體" w:eastAsia="標楷體" w:hAnsi="Courier New" w:cs="Courier New"/>
          <w:kern w:val="2"/>
          <w:sz w:val="28"/>
          <w:szCs w:val="24"/>
        </w:rPr>
      </w:pPr>
      <w:r w:rsidRPr="001F5ADD">
        <w:rPr>
          <w:rFonts w:ascii="標楷體" w:eastAsia="標楷體" w:hAnsi="標楷體" w:hint="eastAsia"/>
          <w:sz w:val="28"/>
          <w:szCs w:val="28"/>
        </w:rPr>
        <w:t>十四、基金銷售機構辦理期貨信託基金銷售之人員，應向本公會辦理登記，且</w:t>
      </w:r>
      <w:r w:rsidRPr="001F5ADD">
        <w:rPr>
          <w:rFonts w:ascii="標楷體" w:eastAsia="標楷體" w:hAnsi="Courier New" w:cs="Courier New" w:hint="eastAsia"/>
          <w:kern w:val="2"/>
          <w:sz w:val="28"/>
          <w:szCs w:val="24"/>
        </w:rPr>
        <w:t>對銷售之期貨信託基金有充分之專業知識，並遵循本公會訂定之自律規範。</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十五、期貨信託基金之募集不成立時之退款方式。</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十六、委任報酬之給付及所生費用之分擔方式。</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十七、基金銷售機構以自己名義為客戶申購基金，對於重大影響客戶權益之事項，應辦理之受益人會議通知及彙整所屬客戶意見通知期貨信託事業之應辦事項；約定所稱「重大影響客戶權益之事項」。</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十八、複委任及轉讓之禁止。</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十九、契約之變更或終止。包含基金銷售機構及其辦理基金銷售業務之人員違反法令時，期貨信託事業得終止契約，及金管會要求期貨信託事業不得委任擔任基金銷售機構之期限尚未屆滿等終止事由。</w:t>
      </w:r>
    </w:p>
    <w:p w:rsidR="00B52968" w:rsidRPr="001F5ADD" w:rsidRDefault="00B52968" w:rsidP="00B52968">
      <w:pPr>
        <w:pStyle w:val="Layout"/>
        <w:snapToGrid w:val="0"/>
        <w:ind w:leftChars="470" w:left="1968" w:hangingChars="300" w:hanging="840"/>
        <w:jc w:val="both"/>
        <w:rPr>
          <w:rFonts w:ascii="標楷體" w:eastAsia="標楷體" w:hAnsi="標楷體"/>
          <w:sz w:val="28"/>
          <w:szCs w:val="28"/>
        </w:rPr>
      </w:pPr>
      <w:r w:rsidRPr="001F5ADD">
        <w:rPr>
          <w:rFonts w:ascii="標楷體" w:eastAsia="標楷體" w:hAnsi="標楷體" w:hint="eastAsia"/>
          <w:sz w:val="28"/>
          <w:szCs w:val="28"/>
        </w:rPr>
        <w:t>二十、契約之生效日期及其存續期間。</w:t>
      </w:r>
    </w:p>
    <w:p w:rsidR="00B52968" w:rsidRPr="001F5ADD" w:rsidRDefault="00B52968" w:rsidP="00B52968">
      <w:pPr>
        <w:pStyle w:val="Layout"/>
        <w:snapToGrid w:val="0"/>
        <w:ind w:leftChars="470" w:left="1926" w:hangingChars="285" w:hanging="798"/>
        <w:jc w:val="both"/>
        <w:rPr>
          <w:rFonts w:ascii="標楷體" w:eastAsia="標楷體" w:hAnsi="標楷體"/>
          <w:sz w:val="28"/>
          <w:szCs w:val="28"/>
        </w:rPr>
      </w:pPr>
      <w:r w:rsidRPr="001F5ADD">
        <w:rPr>
          <w:rFonts w:ascii="標楷體" w:eastAsia="標楷體" w:hAnsi="標楷體" w:hint="eastAsia"/>
          <w:sz w:val="28"/>
          <w:szCs w:val="28"/>
        </w:rPr>
        <w:t>二十一、紛爭之解決方式及管轄法院。</w:t>
      </w:r>
    </w:p>
    <w:p w:rsidR="00B52968" w:rsidRPr="001F5ADD" w:rsidRDefault="00B52968" w:rsidP="00B52968">
      <w:pPr>
        <w:pStyle w:val="Layout"/>
        <w:tabs>
          <w:tab w:val="left" w:pos="672"/>
        </w:tabs>
        <w:snapToGrid w:val="0"/>
        <w:ind w:leftChars="470" w:left="1926" w:hangingChars="285" w:hanging="798"/>
        <w:jc w:val="both"/>
        <w:rPr>
          <w:rFonts w:ascii="標楷體" w:eastAsia="標楷體" w:hAnsi="標楷體"/>
          <w:sz w:val="28"/>
          <w:szCs w:val="28"/>
        </w:rPr>
      </w:pPr>
      <w:r w:rsidRPr="001F5ADD">
        <w:rPr>
          <w:rFonts w:ascii="標楷體" w:eastAsia="標楷體" w:hAnsi="標楷體" w:hint="eastAsia"/>
          <w:sz w:val="28"/>
          <w:szCs w:val="28"/>
        </w:rPr>
        <w:t>二十二、其他影響客戶權益經金管會規定應記載事項。</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第十一條   期貨信託事業委任基金銷售機構辦理基金銷售業務，應出具基金銷售機構符合資格之聲明書、其銷售契約及銷售基金之內部控制制度，送本公會審查核准後始得為之。</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期貨信託事業辦理期貨信託基金之募集，應於取得金管會核准後，於開始募集五個營業日前將申報書(附表一)、期貨信託基金委任基金銷售機構彙總表(附表二)、募集公告稿、修正後公開說明書稿本、金管會募集同意函影本及其他依規定應檢具之書件，報請本公會備查。</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第十二條   期貨信託事業對受益憑證單位數之銷售應予適當控管，遇有申購金額超過最高得發行總面額時，各基金銷售機構應依客戶申購時間之順序或其他公正之方式處理。</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第十三條   期貨信託事業應依金管會之規定編製期貨信託基金公開說明書，並交付予基金銷售機構及申購人；基金銷售機構應交付公開說明書予申購人。</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前項公開說明書之交付，得以印製書面交付或經申購人之同意，依其指示之電子郵件網址或其他方式傳送予申購人；期貨信託事業交付公開說明書予其所委任基金銷售機構之方式，得於雙方之銷售契約約定之。</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期貨信託事業及基金銷售機構應於其基金銷售文件及廣告內，標明已備有公開說明書及可供索閱之處所或可供查閱之方式。</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第十四條   期貨信託基金不成立時，期貨信託事業應立即指示基金保管機構</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自確定不成立日起十個營業日內，以申購人為受款人之記名劃線禁止背書轉讓票據或匯款方式，退還申購價金及加計自基金保管機構收受申購價金之翌日起至其發還申購價金之前一日止，按基金保管機構活期存款利率計算之利息。利息計至新台幣元，不滿壹元者，四捨五入。</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第十五條   期貨信託事業及基金銷售機構應依據期貨信託基金公開說明書之記載，公平對待所有基金客戶，不得對特定客戶提供特別優厚之申購條件。</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第十六條</w:t>
      </w:r>
      <w:r w:rsidRPr="001F5ADD">
        <w:rPr>
          <w:rFonts w:ascii="標楷體" w:eastAsia="標楷體" w:hAnsi="標楷體"/>
          <w:sz w:val="28"/>
          <w:szCs w:val="28"/>
        </w:rPr>
        <w:tab/>
      </w:r>
      <w:r w:rsidRPr="001F5ADD">
        <w:rPr>
          <w:rFonts w:ascii="標楷體" w:eastAsia="標楷體" w:hAnsi="標楷體" w:hint="eastAsia"/>
          <w:sz w:val="28"/>
          <w:szCs w:val="28"/>
        </w:rPr>
        <w:t>期貨信託事業及其基金銷售機構辦理基金銷售業務，應充分知悉並評估客戶之投資知識、投資經驗、財務狀況及承受投資風險程度。</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客戶首次向期貨信託事業或其基金銷售機構辦理基金申購時，應提出身分證明文件或法人登記證明文件辦理開戶手續、填留印鑑卡及其基本資料並檢附其他依法令規定應檢附之文件。</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期貨信託事業或基金銷售機構接受客戶申購期貨信託基金受益憑證前，應交付客戶風險預告書以充分揭露相關投資風險，並應向申購人告知期貨信託基金之性質及可能之風險。</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期貨信託事業或其基金銷售機構應確認投資人申購匯款及支付贖回款項係以客戶本人名義為之，但匯款人與受益憑證受益人之關係為配偶、未成年子女者，不在此限。</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期貨信託事業或基金銷售機構依上述辦理本基金性質與可能風險之告知作業時，如客戶曾購買具有性質與風險來源類似之期貨信託基金者，期貨信託事業或基金銷售機構得經客戶之同意，免辦理上述風險告知作業，惟仍應提供風險預告書，並留存客戶同意免辦解說之同意書、客戶簽署之風險預告書及相關證明文件。</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針對同一檔基金同一申購人第二次（含）以上辦理申購時，期貨信託事業或基金銷售機構得免辦理上述風險告知與風險文件簽署流程。</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第十七條</w:t>
      </w:r>
      <w:r w:rsidRPr="001F5ADD">
        <w:rPr>
          <w:rFonts w:ascii="標楷體" w:eastAsia="標楷體" w:hAnsi="標楷體"/>
          <w:sz w:val="28"/>
          <w:szCs w:val="28"/>
        </w:rPr>
        <w:tab/>
      </w:r>
      <w:r w:rsidRPr="001F5ADD">
        <w:rPr>
          <w:rFonts w:ascii="標楷體" w:eastAsia="標楷體" w:hAnsi="標楷體" w:hint="eastAsia"/>
          <w:sz w:val="28"/>
          <w:szCs w:val="28"/>
        </w:rPr>
        <w:t>期貨信託事業應依不同基金之特性，訂定其受理基金申購申請之截止時間，及該事業委任之基金銷售機構亦應訂定其受理申購申請截止時間，除能證明客戶係於受理截止時間前提出申購申請者外，逾時申請應視為次一營業日之交易。</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前項受理申購申請之截止時間，期貨信託事業及其基金銷售機構應確實嚴格執行，並應將該資訊載明於基金公開說明書、相關銷售文件及公司網站。</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申購人應於申購當日交付基金申購書件及申購價金，除發行期貨信託基金之期貨信託事業及其委任並以自己名義為客戶申購基金之基金銷售機構，得直接收受客戶之申購價金轉入基金專戶外，其它基金銷售機構應要求申購人將申購價金直接匯撥至基金專戶。</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期貨信託事業應以申購人之申購價金進入基金專戶當日淨值為計算標準，計算申購單位數。但基金銷售機構以自已名義為客戶申購基金，或客戶於申購當日透過金融機構帳戶扣繳申購款項時，該等機構如於受理申購或扣款之次一營業日上午十時前將申購價金匯撥基金專戶者，</w:t>
      </w:r>
      <w:r w:rsidRPr="001F5ADD">
        <w:rPr>
          <w:rFonts w:ascii="標楷體" w:eastAsia="標楷體" w:hAnsi="標楷體"/>
          <w:sz w:val="28"/>
          <w:szCs w:val="28"/>
        </w:rPr>
        <w:t>或該等機構因依銀行法第</w:t>
      </w:r>
      <w:r w:rsidRPr="001F5ADD">
        <w:rPr>
          <w:rFonts w:ascii="標楷體" w:eastAsia="標楷體" w:hAnsi="標楷體" w:hint="eastAsia"/>
          <w:sz w:val="28"/>
          <w:szCs w:val="28"/>
        </w:rPr>
        <w:t>四十七條之三</w:t>
      </w:r>
      <w:r w:rsidRPr="001F5ADD">
        <w:rPr>
          <w:rFonts w:ascii="標楷體" w:eastAsia="標楷體" w:hAnsi="標楷體"/>
          <w:sz w:val="28"/>
          <w:szCs w:val="28"/>
        </w:rPr>
        <w:t>設立之金融資訊服務事業跨行網路系統之不可抗力情事致申購款項未於受理申購或扣款之次一營業日上午十時前匯撥至基金專戶者，</w:t>
      </w:r>
      <w:r w:rsidRPr="001F5ADD">
        <w:rPr>
          <w:rFonts w:ascii="標楷體" w:eastAsia="標楷體" w:hAnsi="標楷體" w:hint="eastAsia"/>
          <w:sz w:val="28"/>
          <w:szCs w:val="28"/>
        </w:rPr>
        <w:t>亦以申購當日淨值計算申購單位數。</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基金銷售機構之款項收付作業透過證券集中保管事業辦理者，該事業如已於受理申購或扣款之次一營業日前將申購價金指示匯撥，且於受理申購或扣款之次一營業日期貨信託事業確認申購款項已匯入基金專戶，或取得該事業提供已於受理申購或扣款之次一營業日前指示匯撥之匯款證明文件者，亦以申購當日淨值計算申購單位數。</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受益人申請於同一公司不同基金之轉申購，期貨信託事業應以該買回價款實際轉入所申購基金專戶時當日之淨值為計價基準，計算所得申購之單位數。</w:t>
      </w:r>
    </w:p>
    <w:p w:rsidR="00B52968" w:rsidRPr="001F5ADD" w:rsidRDefault="00B52968" w:rsidP="00B52968">
      <w:pPr>
        <w:pStyle w:val="Layout"/>
        <w:snapToGrid w:val="0"/>
        <w:ind w:leftChars="585" w:left="1404"/>
        <w:jc w:val="both"/>
        <w:rPr>
          <w:rFonts w:ascii="標楷體" w:eastAsia="標楷體" w:hAnsi="標楷體"/>
          <w:sz w:val="28"/>
          <w:szCs w:val="28"/>
        </w:rPr>
      </w:pPr>
      <w:r w:rsidRPr="001F5ADD">
        <w:rPr>
          <w:rFonts w:ascii="標楷體" w:eastAsia="標楷體" w:hAnsi="標楷體" w:hint="eastAsia"/>
          <w:sz w:val="28"/>
          <w:szCs w:val="28"/>
        </w:rPr>
        <w:t>受益人申請買回基金並同時申請於次一營業日申購同一基金，期貨信託事業得以該次一營業日之基金淨值為計價基準，計算所得申購之單位數。</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第十八條</w:t>
      </w:r>
      <w:r w:rsidRPr="001F5ADD">
        <w:rPr>
          <w:rFonts w:ascii="標楷體" w:eastAsia="標楷體" w:hAnsi="標楷體"/>
          <w:sz w:val="28"/>
          <w:szCs w:val="28"/>
        </w:rPr>
        <w:tab/>
      </w:r>
      <w:r w:rsidRPr="001F5ADD">
        <w:rPr>
          <w:rFonts w:ascii="標楷體" w:eastAsia="標楷體" w:hAnsi="標楷體" w:hint="eastAsia"/>
          <w:sz w:val="28"/>
          <w:szCs w:val="28"/>
        </w:rPr>
        <w:t>期貨信託基金每受益權單位之申購價金應包括發行價格及申購手續費，期貨信託事業得依發行價格之一定比例，訂定合理之申購手續費收取標準，並揭露於公開說明書；申購手續費不列入基金資產。</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第十九條</w:t>
      </w:r>
      <w:r w:rsidRPr="001F5ADD">
        <w:rPr>
          <w:rFonts w:ascii="標楷體" w:eastAsia="標楷體" w:hAnsi="標楷體"/>
          <w:sz w:val="28"/>
          <w:szCs w:val="28"/>
        </w:rPr>
        <w:tab/>
      </w:r>
      <w:r w:rsidRPr="001F5ADD">
        <w:rPr>
          <w:rFonts w:ascii="標楷體" w:eastAsia="標楷體" w:hAnsi="標楷體" w:hint="eastAsia"/>
          <w:sz w:val="28"/>
          <w:szCs w:val="28"/>
        </w:rPr>
        <w:t>期貨信託事業及其基金銷售機構應建立可於客戶之申購申請書件上明確註記其受理申請之日期及時間之機制，惟客戶如非以書面而是係以其它約定方式提出申請者，期貨信託事業及其基金銷售機構之相關作業系統須具有明確記載上開訊息之功能，並保留稽核軌跡，備供查核。</w:t>
      </w:r>
    </w:p>
    <w:p w:rsidR="00B52968" w:rsidRPr="001F5ADD" w:rsidRDefault="00B52968" w:rsidP="00B52968">
      <w:pPr>
        <w:pStyle w:val="Layout"/>
        <w:snapToGrid w:val="0"/>
        <w:ind w:leftChars="-63" w:left="1406" w:hangingChars="556" w:hanging="1557"/>
        <w:jc w:val="both"/>
        <w:rPr>
          <w:rFonts w:ascii="標楷體" w:eastAsia="標楷體" w:hAnsi="標楷體"/>
          <w:sz w:val="28"/>
          <w:szCs w:val="28"/>
        </w:rPr>
      </w:pPr>
      <w:r w:rsidRPr="001F5ADD">
        <w:rPr>
          <w:rFonts w:ascii="標楷體" w:eastAsia="標楷體" w:hAnsi="標楷體" w:hint="eastAsia"/>
          <w:sz w:val="28"/>
          <w:szCs w:val="28"/>
        </w:rPr>
        <w:t>第二十條   期貨信託基金成立日前（不含當日）</w:t>
      </w:r>
      <w:r w:rsidRPr="001F5ADD">
        <w:rPr>
          <w:rFonts w:ascii="標楷體" w:eastAsia="標楷體" w:hAnsi="標楷體"/>
          <w:sz w:val="28"/>
          <w:szCs w:val="28"/>
        </w:rPr>
        <w:t>，除指數股票型</w:t>
      </w:r>
      <w:r w:rsidRPr="001F5ADD">
        <w:rPr>
          <w:rFonts w:ascii="標楷體" w:eastAsia="標楷體" w:hAnsi="標楷體" w:hint="eastAsia"/>
          <w:sz w:val="28"/>
          <w:szCs w:val="28"/>
        </w:rPr>
        <w:t>期貨信託基金</w:t>
      </w:r>
      <w:r w:rsidRPr="001F5ADD">
        <w:rPr>
          <w:rFonts w:ascii="標楷體" w:eastAsia="標楷體" w:hAnsi="標楷體"/>
          <w:sz w:val="28"/>
          <w:szCs w:val="28"/>
        </w:rPr>
        <w:t>外</w:t>
      </w:r>
      <w:r w:rsidRPr="001F5ADD">
        <w:rPr>
          <w:rFonts w:ascii="標楷體" w:eastAsia="標楷體" w:hAnsi="標楷體" w:hint="eastAsia"/>
          <w:sz w:val="28"/>
          <w:szCs w:val="28"/>
        </w:rPr>
        <w:t>，每受益權單位之發行價格為新台幣壹拾元。期貨信託基金自成立日起，每受益權單位之發行價格為申購日當日每受益權單位淨資產價值。期貨信託事業應依客戶申購當日之每受益權單位淨資產價值計算其所申購之受益權單位數。</w:t>
      </w:r>
    </w:p>
    <w:p w:rsidR="00B52968" w:rsidRPr="001F5ADD" w:rsidRDefault="00B52968" w:rsidP="00B52968">
      <w:pPr>
        <w:pStyle w:val="Layout"/>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第二十一條   期貨信託</w:t>
      </w:r>
      <w:r w:rsidRPr="001F5ADD">
        <w:rPr>
          <w:rFonts w:ascii="標楷體" w:eastAsia="標楷體" w:hAnsi="標楷體"/>
          <w:sz w:val="28"/>
          <w:szCs w:val="28"/>
        </w:rPr>
        <w:t>基金銷售機構辦理指數股票型</w:t>
      </w:r>
      <w:r w:rsidRPr="001F5ADD">
        <w:rPr>
          <w:rFonts w:ascii="標楷體" w:eastAsia="標楷體" w:hAnsi="標楷體" w:hint="eastAsia"/>
          <w:sz w:val="28"/>
          <w:szCs w:val="28"/>
        </w:rPr>
        <w:t>期貨信託</w:t>
      </w:r>
      <w:r w:rsidRPr="001F5ADD">
        <w:rPr>
          <w:rFonts w:ascii="標楷體" w:eastAsia="標楷體" w:hAnsi="標楷體"/>
          <w:sz w:val="28"/>
          <w:szCs w:val="28"/>
        </w:rPr>
        <w:t>基金成立日前之申購業務，得依下列規定辦理：</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1F5ADD">
        <w:rPr>
          <w:rFonts w:ascii="標楷體" w:eastAsia="標楷體" w:hAnsi="標楷體" w:cs="細明體"/>
          <w:kern w:val="0"/>
          <w:sz w:val="28"/>
          <w:szCs w:val="28"/>
        </w:rPr>
        <w:t>一、依第十</w:t>
      </w:r>
      <w:r w:rsidRPr="001F5ADD">
        <w:rPr>
          <w:rFonts w:ascii="標楷體" w:eastAsia="標楷體" w:hAnsi="標楷體" w:cs="細明體" w:hint="eastAsia"/>
          <w:kern w:val="0"/>
          <w:sz w:val="28"/>
          <w:szCs w:val="28"/>
        </w:rPr>
        <w:t>六</w:t>
      </w:r>
      <w:r w:rsidRPr="001F5ADD">
        <w:rPr>
          <w:rFonts w:ascii="標楷體" w:eastAsia="標楷體" w:hAnsi="標楷體" w:cs="細明體"/>
          <w:kern w:val="0"/>
          <w:sz w:val="28"/>
          <w:szCs w:val="28"/>
        </w:rPr>
        <w:t>條規定製作之瞭解客戶、開戶</w:t>
      </w:r>
      <w:r w:rsidRPr="001F5ADD">
        <w:rPr>
          <w:rFonts w:ascii="標楷體" w:eastAsia="標楷體" w:hAnsi="標楷體" w:cs="細明體" w:hint="eastAsia"/>
          <w:kern w:val="0"/>
          <w:sz w:val="28"/>
        </w:rPr>
        <w:t>、</w:t>
      </w:r>
      <w:r w:rsidRPr="001F5ADD">
        <w:rPr>
          <w:rFonts w:ascii="標楷體" w:eastAsia="標楷體" w:hAnsi="標楷體" w:cs="細明體"/>
          <w:kern w:val="0"/>
          <w:sz w:val="28"/>
        </w:rPr>
        <w:t>申購</w:t>
      </w:r>
      <w:r w:rsidRPr="001F5ADD">
        <w:rPr>
          <w:rFonts w:ascii="標楷體" w:eastAsia="標楷體" w:hAnsi="標楷體" w:cs="細明體" w:hint="eastAsia"/>
          <w:kern w:val="0"/>
          <w:sz w:val="28"/>
        </w:rPr>
        <w:t>及風險預告</w:t>
      </w:r>
      <w:r w:rsidRPr="001F5ADD">
        <w:rPr>
          <w:rFonts w:ascii="標楷體" w:eastAsia="標楷體" w:hAnsi="標楷體" w:cs="細明體"/>
          <w:kern w:val="0"/>
          <w:sz w:val="28"/>
        </w:rPr>
        <w:t>等文件</w:t>
      </w:r>
      <w:r w:rsidRPr="001F5ADD">
        <w:rPr>
          <w:rFonts w:ascii="標楷體" w:eastAsia="標楷體" w:hAnsi="標楷體" w:cs="細明體"/>
          <w:kern w:val="0"/>
          <w:sz w:val="28"/>
          <w:szCs w:val="28"/>
        </w:rPr>
        <w:t>不需再轉送</w:t>
      </w:r>
      <w:r w:rsidRPr="001F5ADD">
        <w:rPr>
          <w:rFonts w:ascii="標楷體" w:eastAsia="標楷體" w:hAnsi="標楷體" w:cs="細明體" w:hint="eastAsia"/>
          <w:kern w:val="0"/>
          <w:sz w:val="28"/>
          <w:szCs w:val="28"/>
        </w:rPr>
        <w:t>期貨</w:t>
      </w:r>
      <w:r w:rsidRPr="001F5ADD">
        <w:rPr>
          <w:rFonts w:ascii="標楷體" w:eastAsia="標楷體" w:hAnsi="標楷體" w:cs="細明體"/>
          <w:kern w:val="0"/>
          <w:sz w:val="28"/>
          <w:szCs w:val="28"/>
        </w:rPr>
        <w:t>信託事業留存。</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1F5ADD">
        <w:rPr>
          <w:rFonts w:ascii="標楷體" w:eastAsia="標楷體" w:hAnsi="標楷體" w:cs="細明體"/>
          <w:kern w:val="0"/>
          <w:sz w:val="28"/>
          <w:szCs w:val="28"/>
        </w:rPr>
        <w:t>二、逐日製作包括投資人姓名、身分證字號（或統一編號）、</w:t>
      </w:r>
      <w:r w:rsidR="009A6AEE" w:rsidRPr="001F5ADD">
        <w:rPr>
          <w:rFonts w:ascii="標楷體" w:eastAsia="標楷體" w:hAnsi="標楷體" w:cs="Arial" w:hint="eastAsia"/>
          <w:kern w:val="0"/>
          <w:sz w:val="28"/>
          <w:szCs w:val="28"/>
        </w:rPr>
        <w:t>出生年月日、國籍、通訊地址、</w:t>
      </w:r>
      <w:r w:rsidRPr="001F5ADD">
        <w:rPr>
          <w:rFonts w:ascii="標楷體" w:eastAsia="標楷體" w:hAnsi="標楷體" w:cs="細明體"/>
          <w:kern w:val="0"/>
          <w:sz w:val="28"/>
          <w:szCs w:val="28"/>
        </w:rPr>
        <w:t>有價證券集中保管帳戶、申購單位數、申購價款、手續費等資料之明細表交付給</w:t>
      </w:r>
      <w:r w:rsidRPr="001F5ADD">
        <w:rPr>
          <w:rFonts w:ascii="標楷體" w:eastAsia="標楷體" w:hAnsi="標楷體" w:cs="細明體" w:hint="eastAsia"/>
          <w:kern w:val="0"/>
          <w:sz w:val="28"/>
          <w:szCs w:val="28"/>
        </w:rPr>
        <w:t>期貨</w:t>
      </w:r>
      <w:r w:rsidRPr="001F5ADD">
        <w:rPr>
          <w:rFonts w:ascii="標楷體" w:eastAsia="標楷體" w:hAnsi="標楷體" w:cs="細明體"/>
          <w:kern w:val="0"/>
          <w:sz w:val="28"/>
          <w:szCs w:val="28"/>
        </w:rPr>
        <w:t>信託事業。</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jc w:val="both"/>
        <w:rPr>
          <w:rFonts w:ascii="標楷體" w:eastAsia="標楷體" w:hAnsi="標楷體" w:cs="細明體"/>
          <w:kern w:val="0"/>
          <w:sz w:val="28"/>
          <w:szCs w:val="28"/>
        </w:rPr>
      </w:pPr>
      <w:r w:rsidRPr="001F5ADD">
        <w:rPr>
          <w:rFonts w:ascii="標楷體" w:eastAsia="標楷體" w:hAnsi="標楷體" w:cs="細明體" w:hint="eastAsia"/>
          <w:kern w:val="0"/>
          <w:sz w:val="28"/>
          <w:szCs w:val="28"/>
        </w:rPr>
        <w:t>三、槓桿型指數股票型期貨信託基金(以下簡稱槓桿型期貨ETF)及反向型指數股票型期貨信託基金(以下簡稱反向型期貨ETF)於成立日前之申購作業，應先確認投資人符合證券交易所</w:t>
      </w:r>
      <w:r w:rsidRPr="001F5ADD">
        <w:rPr>
          <w:rFonts w:ascii="標楷體" w:eastAsia="標楷體" w:hAnsi="標楷體" w:cs="Arial" w:hint="eastAsia"/>
          <w:kern w:val="0"/>
          <w:sz w:val="28"/>
          <w:szCs w:val="28"/>
        </w:rPr>
        <w:t>或證券櫃檯買賣中心</w:t>
      </w:r>
      <w:r w:rsidRPr="001F5ADD">
        <w:rPr>
          <w:rFonts w:ascii="標楷體" w:eastAsia="標楷體" w:hAnsi="標楷體" w:cs="細明體" w:hint="eastAsia"/>
          <w:kern w:val="0"/>
          <w:sz w:val="28"/>
          <w:szCs w:val="28"/>
        </w:rPr>
        <w:t>訂定之適格條件。</w:t>
      </w:r>
    </w:p>
    <w:p w:rsidR="00B52968" w:rsidRPr="001F5ADD" w:rsidRDefault="00B52968" w:rsidP="00B52968">
      <w:pPr>
        <w:pStyle w:val="Layout"/>
        <w:tabs>
          <w:tab w:val="left" w:pos="672"/>
        </w:tabs>
        <w:snapToGrid w:val="0"/>
        <w:ind w:leftChars="665" w:left="1596"/>
        <w:jc w:val="both"/>
        <w:rPr>
          <w:rFonts w:ascii="標楷體" w:eastAsia="標楷體" w:hAnsi="標楷體"/>
          <w:sz w:val="28"/>
          <w:szCs w:val="28"/>
        </w:rPr>
      </w:pPr>
      <w:r w:rsidRPr="001F5ADD">
        <w:rPr>
          <w:rFonts w:ascii="標楷體" w:eastAsia="標楷體" w:hAnsi="標楷體" w:hint="eastAsia"/>
          <w:sz w:val="28"/>
          <w:szCs w:val="28"/>
        </w:rPr>
        <w:t>期貨信託事業辦理槓桿型期貨ETF及反向型期貨ETF於成立日前之申購業務，準用前項第三款規定。</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63" w:left="2229" w:hangingChars="850" w:hanging="2380"/>
        <w:rPr>
          <w:rFonts w:ascii="標楷體" w:eastAsia="標楷體" w:hAnsi="標楷體"/>
          <w:sz w:val="28"/>
          <w:szCs w:val="28"/>
        </w:rPr>
      </w:pPr>
      <w:r w:rsidRPr="001F5ADD">
        <w:rPr>
          <w:rFonts w:ascii="標楷體" w:eastAsia="標楷體" w:hAnsi="標楷體" w:hint="eastAsia"/>
          <w:sz w:val="28"/>
          <w:szCs w:val="28"/>
        </w:rPr>
        <w:t>第二十一條之ㄧ    期貨信託事業募集發行槓桿型期貨ETF及反向型期貨ETF</w:t>
      </w:r>
    </w:p>
    <w:p w:rsidR="00B52968" w:rsidRPr="001F5ADD" w:rsidRDefault="00B52968" w:rsidP="00B52968">
      <w:pPr>
        <w:pStyle w:val="Layout"/>
        <w:tabs>
          <w:tab w:val="left" w:pos="672"/>
        </w:tabs>
        <w:snapToGrid w:val="0"/>
        <w:ind w:leftChars="1000" w:left="2400"/>
        <w:jc w:val="both"/>
        <w:rPr>
          <w:rFonts w:ascii="標楷體" w:eastAsia="標楷體" w:hAnsi="標楷體"/>
          <w:sz w:val="28"/>
          <w:szCs w:val="28"/>
        </w:rPr>
      </w:pPr>
      <w:r w:rsidRPr="001F5ADD">
        <w:rPr>
          <w:rFonts w:ascii="標楷體" w:eastAsia="標楷體" w:hAnsi="標楷體" w:hint="eastAsia"/>
          <w:sz w:val="28"/>
          <w:szCs w:val="28"/>
        </w:rPr>
        <w:t>，期貨信託事業應於公開說明書</w:t>
      </w:r>
      <w:r w:rsidRPr="001F5ADD">
        <w:rPr>
          <w:rFonts w:ascii="標楷體" w:eastAsia="標楷體" w:hAnsi="標楷體"/>
          <w:sz w:val="28"/>
          <w:szCs w:val="28"/>
        </w:rPr>
        <w:t>、</w:t>
      </w:r>
      <w:r w:rsidRPr="001F5ADD">
        <w:rPr>
          <w:rFonts w:ascii="標楷體" w:eastAsia="標楷體" w:hAnsi="標楷體" w:hint="eastAsia"/>
          <w:sz w:val="28"/>
          <w:szCs w:val="28"/>
        </w:rPr>
        <w:t>銷售文件及公司網站以顯著方式及容易瞭解文字內容揭露下列事項：</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一、投資策略、產品特性(包含每日重新平衡、每日複利計算)，及追蹤標的指數之方式(譬如追蹤一般標的指數之正向倍數或反向倍數表現者；直接追蹤槓桿指數或反向指數者)。</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二、其正向倍數或反向倍數之報酬率，僅限於單日。</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三、為策略交易型產品，不適合長期持有，僅符合適格條件之投資人始得交易。</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四、以實際案例說明，每日複利計算下，槓桿型期貨ETF及反向型期貨ETF之長期報酬率會偏離一般標的指數之正向倍數或反向倍數表現；追蹤槓桿指數或反向指數者，亦同。</w:t>
      </w:r>
    </w:p>
    <w:p w:rsidR="00B52968" w:rsidRPr="001F5ADD"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五、投資風險。</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400"/>
        <w:rPr>
          <w:rFonts w:ascii="標楷體" w:eastAsia="標楷體" w:hAnsi="標楷體"/>
          <w:sz w:val="28"/>
          <w:szCs w:val="28"/>
        </w:rPr>
      </w:pPr>
      <w:r w:rsidRPr="001F5ADD">
        <w:rPr>
          <w:rFonts w:ascii="標楷體" w:eastAsia="標楷體" w:hAnsi="標楷體" w:hint="eastAsia"/>
          <w:sz w:val="28"/>
          <w:szCs w:val="28"/>
        </w:rPr>
        <w:t>期貨信託事業應對投資人進行槓桿型期貨ETF及反向型期貨ETF之教育宣導，協助投資人瞭解該等期貨ETF產品之風險及特性，並應於公司網站以圖表方式顯示下列資訊，供投資人參考：</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一、每日盤中自行計算之槓桿指數及反向指數之變動情形。</w:t>
      </w:r>
    </w:p>
    <w:p w:rsidR="00B52968"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二、每日收盤後，指數編製公司所編製或期貨信託事業自行計算之槓桿指數及反向指數之歷史走勢圖及數值。</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63" w:left="2369" w:hangingChars="900" w:hanging="2520"/>
        <w:rPr>
          <w:rFonts w:ascii="標楷體" w:eastAsia="標楷體" w:hAnsi="標楷體" w:cs="Arial"/>
          <w:color w:val="0000FF"/>
          <w:sz w:val="28"/>
          <w:szCs w:val="28"/>
          <w:u w:val="single"/>
        </w:rPr>
      </w:pPr>
      <w:r w:rsidRPr="001F5ADD">
        <w:rPr>
          <w:rFonts w:ascii="標楷體" w:eastAsia="標楷體" w:hAnsi="標楷體" w:cs="Arial" w:hint="eastAsia"/>
          <w:color w:val="0000FF"/>
          <w:kern w:val="0"/>
          <w:sz w:val="28"/>
          <w:szCs w:val="28"/>
          <w:u w:val="single"/>
        </w:rPr>
        <w:t>第二十一條之二</w:t>
      </w:r>
      <w:r w:rsidRPr="00AE5AF2">
        <w:rPr>
          <w:rFonts w:ascii="標楷體" w:eastAsia="標楷體" w:hAnsi="標楷體" w:cs="Arial" w:hint="eastAsia"/>
          <w:color w:val="0000FF"/>
          <w:kern w:val="0"/>
          <w:sz w:val="28"/>
          <w:szCs w:val="28"/>
        </w:rPr>
        <w:t xml:space="preserve">   </w:t>
      </w:r>
      <w:r w:rsidR="00AE5AF2" w:rsidRPr="00AE5AF2">
        <w:rPr>
          <w:rFonts w:ascii="標楷體" w:eastAsia="標楷體" w:hAnsi="標楷體" w:cs="Arial" w:hint="eastAsia"/>
          <w:color w:val="0000FF"/>
          <w:kern w:val="0"/>
          <w:sz w:val="28"/>
          <w:szCs w:val="28"/>
        </w:rPr>
        <w:t xml:space="preserve"> </w:t>
      </w:r>
      <w:r w:rsidRPr="001F5ADD">
        <w:rPr>
          <w:rFonts w:ascii="標楷體" w:eastAsia="標楷體" w:hAnsi="標楷體" w:cs="Arial" w:hint="eastAsia"/>
          <w:color w:val="0000FF"/>
          <w:sz w:val="28"/>
          <w:szCs w:val="28"/>
          <w:u w:val="single"/>
        </w:rPr>
        <w:t>期貨</w:t>
      </w:r>
      <w:bookmarkStart w:id="0" w:name="_GoBack"/>
      <w:bookmarkEnd w:id="0"/>
      <w:r w:rsidRPr="001F5ADD">
        <w:rPr>
          <w:rFonts w:ascii="標楷體" w:eastAsia="標楷體" w:hAnsi="標楷體" w:cs="Arial" w:hint="eastAsia"/>
          <w:color w:val="0000FF"/>
          <w:sz w:val="28"/>
          <w:szCs w:val="28"/>
          <w:u w:val="single"/>
        </w:rPr>
        <w:t>信託事業應依公平、合理之原則於內部控制制度中訂定指數股票型期貨信託基金配售作業流程，並包括下列要點：</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一、啟動之標準與依據。</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二、配售額度之原則、方式及頻率、配售作業規則(例如採抽籤制或依登記預約時序等方式、抽籤時間及地點、抽籤規則等機制及公告中籤名單事宜、登記之開放及截止時間、登記方式及分配規則等)。</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三、受託申購客戶與流動量提供者之申購比例。</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四、配售資訊揭露項目與揭露方式。</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五、受託申購客戶超額認購之處理方式。</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六、結束之標準。</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七、內部人參與ETF配售之利益衝突防範規範。</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八、其他注意事項。</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40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客戶申購總組數超過可分配之組數時即須啟動公平配售機制，包括期貨信託事業於特殊情形自行控管額度致發生超額申購之情形。另如擬針對不同(例如：類型)指數股票型期貨信託基金訂定不同啟動標準或配售作業流程，亦應明訂於內部控制制度中。</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40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受託申購客戶超額認購如採抽籤之配售方式，則應由</w:t>
      </w:r>
      <w:r w:rsidRPr="001F5ADD">
        <w:rPr>
          <w:rFonts w:ascii="標楷體" w:eastAsia="標楷體" w:hAnsi="標楷體" w:cs="Arial"/>
          <w:color w:val="0000FF"/>
          <w:sz w:val="28"/>
          <w:szCs w:val="28"/>
          <w:u w:val="single"/>
        </w:rPr>
        <w:t>基金保管機構派員監督，並得邀請基金法律顧問、基金簽證會計師</w:t>
      </w:r>
      <w:r w:rsidRPr="001F5ADD">
        <w:rPr>
          <w:rFonts w:ascii="標楷體" w:eastAsia="標楷體" w:hAnsi="標楷體" w:cs="Arial" w:hint="eastAsia"/>
          <w:color w:val="0000FF"/>
          <w:sz w:val="28"/>
          <w:szCs w:val="28"/>
          <w:u w:val="single"/>
        </w:rPr>
        <w:t>或本</w:t>
      </w:r>
      <w:r w:rsidRPr="001F5ADD">
        <w:rPr>
          <w:rFonts w:ascii="標楷體" w:eastAsia="標楷體" w:hAnsi="標楷體" w:cs="Arial"/>
          <w:color w:val="0000FF"/>
          <w:sz w:val="28"/>
          <w:szCs w:val="28"/>
          <w:u w:val="single"/>
        </w:rPr>
        <w:t>公會派員監督</w:t>
      </w:r>
      <w:r w:rsidRPr="001F5ADD">
        <w:rPr>
          <w:rFonts w:ascii="標楷體" w:eastAsia="標楷體" w:hAnsi="標楷體" w:cs="Arial" w:hint="eastAsia"/>
          <w:color w:val="0000FF"/>
          <w:sz w:val="28"/>
          <w:szCs w:val="28"/>
          <w:u w:val="single"/>
        </w:rPr>
        <w:t>。</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40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配售作業流程及相關配售資訊應於每次啟動前於公司官網及公開資訊觀測站公告，應公告之項目包括：</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一、啟動之依據。</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二、配售作業規則。</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三、受託申購客戶與流動量提供者之申購額度。</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四、客戶超額認購之處理方式。</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960" w:hangingChars="200" w:hanging="56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五、提醒投資人潛在投資風險等其他注意事項。</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400"/>
        <w:rPr>
          <w:rFonts w:ascii="標楷體" w:eastAsia="標楷體" w:hAnsi="標楷體" w:cs="Arial"/>
          <w:color w:val="0000FF"/>
          <w:sz w:val="28"/>
          <w:szCs w:val="28"/>
          <w:u w:val="single"/>
        </w:rPr>
      </w:pPr>
      <w:r w:rsidRPr="001F5ADD">
        <w:rPr>
          <w:rFonts w:ascii="標楷體" w:eastAsia="標楷體" w:hAnsi="標楷體" w:cs="Arial" w:hint="eastAsia"/>
          <w:color w:val="0000FF"/>
          <w:sz w:val="28"/>
          <w:szCs w:val="28"/>
          <w:u w:val="single"/>
        </w:rPr>
        <w:t>期貨信託事業應於申購書件內載明內部人定義，由申購客戶確認是否屬期貨信託公司之內部人，並依內部控制制度辦理配售作業。</w:t>
      </w:r>
    </w:p>
    <w:p w:rsidR="001F5ADD" w:rsidRPr="001F5ADD" w:rsidRDefault="001F5ADD"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1000" w:left="2400"/>
        <w:rPr>
          <w:rFonts w:ascii="標楷體" w:eastAsia="標楷體" w:hAnsi="標楷體" w:cs="細明體"/>
          <w:sz w:val="32"/>
          <w:szCs w:val="28"/>
        </w:rPr>
      </w:pPr>
      <w:r w:rsidRPr="001F5ADD">
        <w:rPr>
          <w:rFonts w:ascii="標楷體" w:eastAsia="標楷體" w:hAnsi="標楷體" w:cs="Arial" w:hint="eastAsia"/>
          <w:color w:val="0000FF"/>
          <w:sz w:val="28"/>
          <w:szCs w:val="28"/>
          <w:u w:val="single"/>
        </w:rPr>
        <w:t>期貨信託事業應將辦理配售作業之完整流程紀錄及相關資料保存五年備查。</w:t>
      </w:r>
    </w:p>
    <w:p w:rsidR="00B52968" w:rsidRPr="001F5ADD" w:rsidRDefault="00B52968" w:rsidP="00AE5AF2">
      <w:pPr>
        <w:pStyle w:val="Layout"/>
        <w:tabs>
          <w:tab w:val="left" w:pos="672"/>
        </w:tabs>
        <w:kinsoku w:val="0"/>
        <w:snapToGrid w:val="0"/>
        <w:spacing w:beforeLines="50" w:before="180"/>
        <w:ind w:left="-153"/>
        <w:jc w:val="both"/>
        <w:rPr>
          <w:rFonts w:ascii="標楷體" w:eastAsia="標楷體" w:hAnsi="標楷體"/>
          <w:sz w:val="28"/>
          <w:szCs w:val="28"/>
        </w:rPr>
      </w:pPr>
      <w:r w:rsidRPr="001F5ADD">
        <w:rPr>
          <w:rFonts w:ascii="標楷體" w:eastAsia="標楷體" w:hAnsi="標楷體" w:hint="eastAsia"/>
          <w:sz w:val="28"/>
          <w:szCs w:val="28"/>
        </w:rPr>
        <w:tab/>
      </w:r>
      <w:r w:rsidRPr="001F5ADD">
        <w:rPr>
          <w:rFonts w:ascii="標楷體" w:eastAsia="標楷體" w:hAnsi="標楷體"/>
          <w:sz w:val="28"/>
          <w:szCs w:val="28"/>
        </w:rPr>
        <w:t>第 三 章 受益憑證</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第二十二條</w:t>
      </w:r>
      <w:r w:rsidRPr="001F5ADD">
        <w:rPr>
          <w:rFonts w:ascii="標楷體" w:eastAsia="標楷體" w:hAnsi="標楷體"/>
          <w:sz w:val="28"/>
          <w:szCs w:val="28"/>
        </w:rPr>
        <w:tab/>
      </w:r>
      <w:r w:rsidRPr="001F5ADD">
        <w:rPr>
          <w:rFonts w:ascii="標楷體" w:eastAsia="標楷體" w:hAnsi="標楷體" w:hint="eastAsia"/>
          <w:sz w:val="28"/>
          <w:szCs w:val="28"/>
        </w:rPr>
        <w:t>受益憑證應為記名式。期貨信託基金受益憑證之交付，採帳簿劃撥方式為之，並不得委由期貨信託基金銷售機構辦理。</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期貨信託</w:t>
      </w:r>
      <w:r w:rsidRPr="001F5ADD">
        <w:rPr>
          <w:rFonts w:ascii="標楷體" w:eastAsia="標楷體" w:hAnsi="標楷體" w:cs="細明體"/>
          <w:kern w:val="0"/>
          <w:sz w:val="28"/>
          <w:szCs w:val="28"/>
        </w:rPr>
        <w:t>基金自首次發行後所受理之申購，</w:t>
      </w:r>
      <w:r w:rsidRPr="001F5ADD">
        <w:rPr>
          <w:rFonts w:ascii="標楷體" w:eastAsia="標楷體" w:hAnsi="標楷體" w:cs="細明體" w:hint="eastAsia"/>
          <w:kern w:val="0"/>
          <w:sz w:val="28"/>
          <w:szCs w:val="28"/>
        </w:rPr>
        <w:t>期貨</w:t>
      </w:r>
      <w:r w:rsidRPr="001F5ADD">
        <w:rPr>
          <w:rFonts w:ascii="標楷體" w:eastAsia="標楷體" w:hAnsi="標楷體" w:cs="細明體"/>
          <w:kern w:val="0"/>
          <w:sz w:val="28"/>
          <w:szCs w:val="28"/>
        </w:rPr>
        <w:t>信託事業應於基金保管機構收足申購價金之日起，於</w:t>
      </w:r>
      <w:r w:rsidRPr="001F5ADD">
        <w:rPr>
          <w:rFonts w:ascii="標楷體" w:eastAsia="標楷體" w:hAnsi="標楷體" w:cs="細明體" w:hint="eastAsia"/>
          <w:kern w:val="0"/>
          <w:sz w:val="28"/>
          <w:szCs w:val="28"/>
        </w:rPr>
        <w:t>三</w:t>
      </w:r>
      <w:r w:rsidRPr="001F5ADD">
        <w:rPr>
          <w:rFonts w:ascii="標楷體" w:eastAsia="標楷體" w:hAnsi="標楷體" w:cs="細明體"/>
          <w:kern w:val="0"/>
          <w:sz w:val="28"/>
          <w:szCs w:val="28"/>
        </w:rPr>
        <w:t>個營業日內依規定</w:t>
      </w:r>
      <w:r w:rsidRPr="001F5ADD">
        <w:rPr>
          <w:rFonts w:ascii="標楷體" w:eastAsia="標楷體" w:hAnsi="標楷體" w:cs="細明體" w:hint="eastAsia"/>
          <w:kern w:val="0"/>
          <w:sz w:val="28"/>
          <w:szCs w:val="28"/>
        </w:rPr>
        <w:t>以帳簿劃撥方式</w:t>
      </w:r>
      <w:r w:rsidRPr="001F5ADD">
        <w:rPr>
          <w:rFonts w:ascii="標楷體" w:eastAsia="標楷體" w:hAnsi="標楷體" w:cs="細明體"/>
          <w:kern w:val="0"/>
          <w:sz w:val="28"/>
          <w:szCs w:val="28"/>
        </w:rPr>
        <w:t>交付受益憑證予申購人。</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第二十三條</w:t>
      </w:r>
      <w:r w:rsidRPr="001F5ADD">
        <w:rPr>
          <w:rFonts w:ascii="標楷體" w:eastAsia="標楷體" w:hAnsi="標楷體" w:hint="eastAsia"/>
          <w:sz w:val="28"/>
          <w:szCs w:val="28"/>
        </w:rPr>
        <w:tab/>
        <w:t>期貨信託事業應洽證券集中保管事業辦理受益憑證之登錄。</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受益人向期貨信託事業或其基金銷售機構所為之申購，其受益憑證應約定登載於</w:t>
      </w:r>
      <w:r w:rsidRPr="001F5ADD">
        <w:rPr>
          <w:rFonts w:ascii="標楷體" w:eastAsia="標楷體" w:hAnsi="標楷體" w:cs="細明體"/>
          <w:kern w:val="0"/>
          <w:sz w:val="28"/>
          <w:szCs w:val="28"/>
        </w:rPr>
        <w:t>其本人開設於證券經紀商之保管劃撥帳戶或</w:t>
      </w:r>
      <w:r w:rsidRPr="001F5ADD">
        <w:rPr>
          <w:rFonts w:ascii="標楷體" w:eastAsia="標楷體" w:hAnsi="標楷體" w:cs="細明體" w:hint="eastAsia"/>
          <w:kern w:val="0"/>
          <w:sz w:val="28"/>
          <w:szCs w:val="28"/>
        </w:rPr>
        <w:t>期貨信託事業開設於證券集中保管事業保管劃撥帳戶下之登錄專戶，並由期貨信託事業製作對帳單予受益人或設置網站供受益人查詢；受益人並得向期貨信託事業請求製發對帳單，該事業不得拒絕。</w:t>
      </w:r>
      <w:r w:rsidRPr="001F5ADD">
        <w:rPr>
          <w:rFonts w:ascii="標楷體" w:eastAsia="標楷體" w:hAnsi="標楷體" w:cs="細明體"/>
          <w:kern w:val="0"/>
          <w:sz w:val="28"/>
          <w:szCs w:val="28"/>
        </w:rPr>
        <w:t>申購人如係向其往來證券經紀商申購，受益憑證之登載，依證券集中保管事業相關規定辦理。</w:t>
      </w:r>
    </w:p>
    <w:p w:rsidR="00B52968" w:rsidRPr="001F5ADD" w:rsidRDefault="00B52968" w:rsidP="00AE5AF2">
      <w:pPr>
        <w:pStyle w:val="Layout"/>
        <w:tabs>
          <w:tab w:val="left" w:pos="672"/>
        </w:tabs>
        <w:kinsoku w:val="0"/>
        <w:snapToGrid w:val="0"/>
        <w:spacing w:beforeLines="50" w:before="180"/>
        <w:ind w:left="-153"/>
        <w:jc w:val="both"/>
        <w:rPr>
          <w:rFonts w:ascii="標楷體" w:eastAsia="標楷體" w:hAnsi="標楷體"/>
          <w:dstrike/>
          <w:sz w:val="28"/>
          <w:szCs w:val="28"/>
        </w:rPr>
      </w:pPr>
      <w:r w:rsidRPr="001F5ADD">
        <w:rPr>
          <w:rFonts w:ascii="標楷體" w:eastAsia="標楷體" w:hAnsi="標楷體" w:hint="eastAsia"/>
          <w:sz w:val="28"/>
          <w:szCs w:val="28"/>
        </w:rPr>
        <w:tab/>
        <w:t>第 四 章 基金之買回</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第二十四條   期貨信託基金成立後，受益人得依期貨信託契約約定以書面或其他事先約定之方式，檢具相關申請書件向期貨信託事業或基金銷售機構提出買回請求。</w:t>
      </w:r>
      <w:r w:rsidRPr="001F5ADD">
        <w:rPr>
          <w:rFonts w:ascii="標楷體" w:eastAsia="標楷體" w:hAnsi="標楷體"/>
          <w:sz w:val="28"/>
          <w:szCs w:val="28"/>
        </w:rPr>
        <w:t>如其受益憑證餘額係登載於</w:t>
      </w:r>
      <w:r w:rsidRPr="001F5ADD">
        <w:rPr>
          <w:rFonts w:ascii="標楷體" w:eastAsia="標楷體" w:hAnsi="標楷體" w:hint="eastAsia"/>
          <w:sz w:val="28"/>
          <w:szCs w:val="28"/>
        </w:rPr>
        <w:t>期貨</w:t>
      </w:r>
      <w:r w:rsidRPr="001F5ADD">
        <w:rPr>
          <w:rFonts w:ascii="標楷體" w:eastAsia="標楷體" w:hAnsi="標楷體"/>
          <w:sz w:val="28"/>
          <w:szCs w:val="28"/>
        </w:rPr>
        <w:t>信託事業保管劃撥帳戶下之登錄專戶者，得向</w:t>
      </w:r>
      <w:r w:rsidRPr="001F5ADD">
        <w:rPr>
          <w:rFonts w:ascii="標楷體" w:eastAsia="標楷體" w:hAnsi="標楷體" w:hint="eastAsia"/>
          <w:sz w:val="28"/>
          <w:szCs w:val="28"/>
        </w:rPr>
        <w:t>期貨信託事業</w:t>
      </w:r>
      <w:r w:rsidRPr="001F5ADD">
        <w:rPr>
          <w:rFonts w:ascii="標楷體" w:eastAsia="標楷體" w:hAnsi="標楷體"/>
          <w:sz w:val="28"/>
          <w:szCs w:val="28"/>
        </w:rPr>
        <w:t>或其指定之基金銷售機構辦理買回；如係登載於受益人本人開設於證券經紀商之保管劃撥帳戶者，應向該證券經紀商辦理之。</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第二十五條</w:t>
      </w:r>
      <w:r w:rsidRPr="001F5ADD">
        <w:rPr>
          <w:rFonts w:ascii="標楷體" w:eastAsia="標楷體" w:hAnsi="標楷體"/>
          <w:sz w:val="28"/>
          <w:szCs w:val="28"/>
        </w:rPr>
        <w:tab/>
      </w:r>
      <w:r w:rsidRPr="001F5ADD">
        <w:rPr>
          <w:rFonts w:ascii="標楷體" w:eastAsia="標楷體" w:hAnsi="標楷體" w:hint="eastAsia"/>
          <w:sz w:val="28"/>
          <w:szCs w:val="28"/>
        </w:rPr>
        <w:t>期貨信託事業及基金銷售機構應依據期貨信託基金公開說明書之記載，公平對待所有請求買回受益憑證者，不得對特定人提供特別優厚之買回條件。</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第二十六條</w:t>
      </w:r>
      <w:r w:rsidRPr="001F5ADD">
        <w:rPr>
          <w:rFonts w:ascii="標楷體" w:eastAsia="標楷體" w:hAnsi="標楷體"/>
          <w:sz w:val="28"/>
          <w:szCs w:val="28"/>
        </w:rPr>
        <w:tab/>
      </w:r>
      <w:r w:rsidRPr="001F5ADD">
        <w:rPr>
          <w:rFonts w:ascii="標楷體" w:eastAsia="標楷體" w:hAnsi="標楷體" w:hint="eastAsia"/>
          <w:sz w:val="28"/>
          <w:szCs w:val="28"/>
        </w:rPr>
        <w:t>期貨信託事業應依不同基金之特性，訂定其受理受益憑證買回申請之截止時間，及基金銷售機構亦應訂定其受理買回申請截止時間，除能證明客戶係於截止時間前提出買回請求者，逾時申請應視為次一營業日之交易。</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前項受理買回申請之截止時間，期貨信託事業及基金銷售機構應確實嚴格執行，並應將該資訊載明於基金公開說明書、相關銷售文件及公司網站。</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期貨信託事業與其委任之基金銷售機構所簽訂之銷售契約，應載明每營業日受理買回申請之截止時間及對逾時申請之認定及其處理方式，以及雙方之義務、責任及權責歸屬。</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第二十七條</w:t>
      </w:r>
      <w:r w:rsidRPr="001F5ADD">
        <w:rPr>
          <w:rFonts w:ascii="標楷體" w:eastAsia="標楷體" w:hAnsi="標楷體"/>
          <w:sz w:val="28"/>
          <w:szCs w:val="28"/>
        </w:rPr>
        <w:tab/>
      </w:r>
      <w:r w:rsidRPr="001F5ADD">
        <w:rPr>
          <w:rFonts w:ascii="標楷體" w:eastAsia="標楷體" w:hAnsi="標楷體" w:hint="eastAsia"/>
          <w:sz w:val="28"/>
          <w:szCs w:val="28"/>
        </w:rPr>
        <w:t>期貨信託事業及基金銷售機構應建立可於受益人請求買回受益憑證之申請書件上明確註記其受理申請之日期及時間之機制，惟客戶如非以書面而是係以其他約定方式提出申請者，期貨信託事業及基金銷售機構之相關作業系統須具有明確記載上開訊息之功能，並保留稽核軌跡，備供查核。</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第二十八條</w:t>
      </w:r>
      <w:r w:rsidRPr="001F5ADD">
        <w:rPr>
          <w:rFonts w:ascii="標楷體" w:eastAsia="標楷體" w:hAnsi="標楷體"/>
          <w:sz w:val="28"/>
          <w:szCs w:val="28"/>
        </w:rPr>
        <w:tab/>
      </w:r>
      <w:r w:rsidRPr="001F5ADD">
        <w:rPr>
          <w:rFonts w:ascii="標楷體" w:eastAsia="標楷體" w:hAnsi="標楷體" w:hint="eastAsia"/>
          <w:sz w:val="28"/>
          <w:szCs w:val="28"/>
        </w:rPr>
        <w:t>期貨信託基金受益憑證買回價格，應以受益人之買回請求到達期貨信託事業或基金銷售機構之次一營業日之期貨信託基金淨資產價值計算之並扣除買回費用。但應給付受益人之買回價金，超過期貨信託基金管理辦法規定應保持之最低流動資產比率者，其買回價格之核算，得另以期貨信託契約訂定之。</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kern w:val="0"/>
          <w:sz w:val="28"/>
          <w:szCs w:val="28"/>
        </w:rPr>
        <w:t>指數股票型</w:t>
      </w:r>
      <w:r w:rsidRPr="001F5ADD">
        <w:rPr>
          <w:rFonts w:ascii="標楷體" w:eastAsia="標楷體" w:hAnsi="標楷體" w:cs="細明體" w:hint="eastAsia"/>
          <w:kern w:val="0"/>
          <w:sz w:val="28"/>
          <w:szCs w:val="28"/>
        </w:rPr>
        <w:t>期貨信託</w:t>
      </w:r>
      <w:r w:rsidRPr="001F5ADD">
        <w:rPr>
          <w:rFonts w:ascii="標楷體" w:eastAsia="標楷體" w:hAnsi="標楷體" w:cs="細明體"/>
          <w:kern w:val="0"/>
          <w:sz w:val="28"/>
          <w:szCs w:val="28"/>
        </w:rPr>
        <w:t>基金</w:t>
      </w:r>
      <w:r w:rsidRPr="001F5ADD">
        <w:rPr>
          <w:rFonts w:ascii="標楷體" w:eastAsia="標楷體" w:hAnsi="標楷體" w:cs="細明體" w:hint="eastAsia"/>
          <w:kern w:val="0"/>
          <w:sz w:val="28"/>
          <w:szCs w:val="28"/>
        </w:rPr>
        <w:t>之買回程序，得依期貨信託契約之規</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定辦理，不受前項規定限制。</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期貨信託事業給付受益人買回價金時，對於符合公開說明書所定從事基金短線交易認定標準之受益人，應扣除該筆交易核算之買回價金一定比例之買回費用，該買回費用並應歸入基金資產。期貨信託事業並得拒絕該受益人之新增申購。</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基金銷售機構以自己名義為客戶申購基金者，其對所屬基金客戶從事基金交易符合公開說明書短線交易認定標準者，應依金管會所規定之格式，提供該客戶相關資料予期貨信託事業，期貨信託事業並得要求基金銷售機構拒絕該客戶之新增申購。</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期貨信託事業對基金銷售機構依前項規定所提供之資料應保守秘密，如有違反，因而造成基金銷售機構或其所屬基金客戶之損害時，應負賠償責任。</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第三項基金短線交易之認定標準及其買回費用收取之最高比例規定，期貨信託事業應依所經理之各期貨信託基金之特性及大多數客戶權益之考量，明訂於基金公開說明書中，同時揭露其有關資訊並載明不歡迎客戶進行短線交易等類似文字，惟短線交易之認定標準係指申購與申請買回時間少於7日（含），但按事先約定之電腦自動交易投資、定時定額投資、同一基金間轉換及</w:t>
      </w:r>
      <w:r w:rsidRPr="001F5ADD">
        <w:rPr>
          <w:rFonts w:ascii="標楷體" w:eastAsia="標楷體" w:hAnsi="標楷體" w:cs="細明體"/>
          <w:kern w:val="0"/>
          <w:sz w:val="28"/>
          <w:szCs w:val="28"/>
        </w:rPr>
        <w:t>指數股票型</w:t>
      </w:r>
      <w:r w:rsidRPr="001F5ADD">
        <w:rPr>
          <w:rFonts w:ascii="標楷體" w:eastAsia="標楷體" w:hAnsi="標楷體" w:cs="細明體" w:hint="eastAsia"/>
          <w:kern w:val="0"/>
          <w:sz w:val="28"/>
          <w:szCs w:val="28"/>
        </w:rPr>
        <w:t>期貨信託</w:t>
      </w:r>
      <w:r w:rsidRPr="001F5ADD">
        <w:rPr>
          <w:rFonts w:ascii="標楷體" w:eastAsia="標楷體" w:hAnsi="標楷體" w:cs="細明體"/>
          <w:kern w:val="0"/>
          <w:sz w:val="28"/>
          <w:szCs w:val="28"/>
        </w:rPr>
        <w:t>基金等得不適用短線交易認定標準</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kern w:val="0"/>
          <w:sz w:val="28"/>
          <w:szCs w:val="28"/>
        </w:rPr>
        <w:t>。</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sz w:val="28"/>
          <w:szCs w:val="28"/>
        </w:rPr>
      </w:pPr>
      <w:r w:rsidRPr="001F5ADD">
        <w:rPr>
          <w:rFonts w:ascii="標楷體" w:eastAsia="標楷體" w:hAnsi="標楷體" w:cs="細明體" w:hint="eastAsia"/>
          <w:kern w:val="0"/>
          <w:sz w:val="28"/>
          <w:szCs w:val="28"/>
        </w:rPr>
        <w:t>除法令另有規定外，基金銷售機構得就每件買回申請向申請人酌收合理之買回手續費，用以支付處理買回事</w:t>
      </w:r>
      <w:r w:rsidRPr="001F5ADD">
        <w:rPr>
          <w:rFonts w:ascii="標楷體" w:eastAsia="標楷體" w:hAnsi="標楷體" w:hint="eastAsia"/>
          <w:sz w:val="28"/>
          <w:szCs w:val="28"/>
        </w:rPr>
        <w:t>務之費用，其收費標準應於基金公開說明書中予以揭露。</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第二十九條</w:t>
      </w:r>
      <w:r w:rsidRPr="001F5ADD">
        <w:rPr>
          <w:rFonts w:ascii="標楷體" w:eastAsia="標楷體" w:hAnsi="標楷體"/>
          <w:sz w:val="28"/>
          <w:szCs w:val="28"/>
        </w:rPr>
        <w:tab/>
      </w:r>
      <w:r w:rsidRPr="001F5ADD">
        <w:rPr>
          <w:rFonts w:ascii="標楷體" w:eastAsia="標楷體" w:hAnsi="標楷體" w:hint="eastAsia"/>
          <w:sz w:val="28"/>
          <w:szCs w:val="28"/>
        </w:rPr>
        <w:t>期貨信託事業對不特定人募集投資國內之期貨信託基金，應自受益人買回受益憑證請求到達之次一營業日起五個營業日內，指示基金保管機構以買回人為受款人之記名劃線禁止背書轉讓票據或匯款方式給付買回價金，但有從事期貨信託基金管理辦法第三十八條第一項第二款交易者，得自受益人之買回受益憑證請求到達之次二營業日起五個營業日內，給付買回價金。</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受益人請求買回部分受益憑證，期貨信託事業除依前項規定之期限給付買回價金外，並應於受益人買回受益憑證之請求到達之次二營業日起七個營業日內，辦理登錄及帳簿劃撥之作業。</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期貨信託事業對不特定人募集之</w:t>
      </w:r>
      <w:r w:rsidRPr="001F5ADD">
        <w:rPr>
          <w:rFonts w:ascii="標楷體" w:eastAsia="標楷體" w:hAnsi="標楷體" w:cs="細明體"/>
          <w:kern w:val="0"/>
          <w:sz w:val="28"/>
          <w:szCs w:val="28"/>
        </w:rPr>
        <w:t>指數股票型</w:t>
      </w:r>
      <w:r w:rsidRPr="001F5ADD">
        <w:rPr>
          <w:rFonts w:ascii="標楷體" w:eastAsia="標楷體" w:hAnsi="標楷體" w:cs="細明體" w:hint="eastAsia"/>
          <w:kern w:val="0"/>
          <w:sz w:val="28"/>
          <w:szCs w:val="28"/>
        </w:rPr>
        <w:t>期貨信託基金，受益人請求買回受益憑證，其買回價金之給付依期貨信託契約之規定辦理。</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第三十條</w:t>
      </w:r>
      <w:r w:rsidRPr="001F5ADD">
        <w:rPr>
          <w:rFonts w:ascii="標楷體" w:eastAsia="標楷體" w:hAnsi="標楷體"/>
          <w:sz w:val="28"/>
          <w:szCs w:val="28"/>
        </w:rPr>
        <w:tab/>
      </w:r>
      <w:r w:rsidRPr="001F5ADD">
        <w:rPr>
          <w:rFonts w:ascii="標楷體" w:eastAsia="標楷體" w:hAnsi="標楷體" w:hint="eastAsia"/>
          <w:sz w:val="28"/>
          <w:szCs w:val="28"/>
        </w:rPr>
        <w:t>期貨信託事業對受益人依期貨信託契約買回受益憑證之請求不得拒絕，對買回價金之給付不得遲延。但有下列情事之一，並經金管會核准者，不在此限：</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224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一、期貨交易所、證券交易所、證券櫃檯買賣中心、外匯市場或其他相關市場非因例假日而停止交易。</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224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二、通常使用之通信中斷。</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224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三、因匯兌交易受限制。</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2240" w:hangingChars="200" w:hanging="56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四、有無從收受買回請求或給付買回價金之其他特殊情事。</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kern w:val="0"/>
          <w:sz w:val="28"/>
          <w:szCs w:val="28"/>
        </w:rPr>
        <w:t>指數股票型</w:t>
      </w:r>
      <w:r w:rsidRPr="001F5ADD">
        <w:rPr>
          <w:rFonts w:ascii="標楷體" w:eastAsia="標楷體" w:hAnsi="標楷體" w:cs="細明體" w:hint="eastAsia"/>
          <w:kern w:val="0"/>
          <w:sz w:val="28"/>
          <w:szCs w:val="28"/>
        </w:rPr>
        <w:t>期貨信託</w:t>
      </w:r>
      <w:r w:rsidRPr="001F5ADD">
        <w:rPr>
          <w:rFonts w:ascii="標楷體" w:eastAsia="標楷體" w:hAnsi="標楷體" w:cs="細明體"/>
          <w:kern w:val="0"/>
          <w:sz w:val="28"/>
          <w:szCs w:val="28"/>
        </w:rPr>
        <w:t>基金</w:t>
      </w:r>
      <w:r w:rsidRPr="001F5ADD">
        <w:rPr>
          <w:rFonts w:ascii="標楷體" w:eastAsia="標楷體" w:hAnsi="標楷體" w:cs="細明體" w:hint="eastAsia"/>
          <w:kern w:val="0"/>
          <w:sz w:val="28"/>
          <w:szCs w:val="28"/>
        </w:rPr>
        <w:t>之買回程序，得依期貨信託契約之規</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定辦理，不受前項規定限制。</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kern w:val="0"/>
          <w:sz w:val="28"/>
          <w:szCs w:val="28"/>
        </w:rPr>
        <w:t>對符合一定資格條件之人募集之期貨信託基金，其買回程序及</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kern w:val="0"/>
          <w:sz w:val="28"/>
          <w:szCs w:val="28"/>
        </w:rPr>
        <w:t>買回價金之給付期限，依期貨信託契約之規定辦理</w:t>
      </w:r>
      <w:r w:rsidRPr="001F5ADD">
        <w:rPr>
          <w:rFonts w:ascii="標楷體" w:eastAsia="標楷體" w:hAnsi="標楷體" w:cs="細明體" w:hint="eastAsia"/>
          <w:kern w:val="0"/>
          <w:sz w:val="28"/>
          <w:szCs w:val="28"/>
        </w:rPr>
        <w:t>。</w:t>
      </w:r>
    </w:p>
    <w:p w:rsidR="00B52968" w:rsidRPr="001F5ADD" w:rsidRDefault="00B52968" w:rsidP="00AE5AF2">
      <w:pPr>
        <w:pStyle w:val="Layout"/>
        <w:tabs>
          <w:tab w:val="left" w:pos="672"/>
        </w:tabs>
        <w:kinsoku w:val="0"/>
        <w:snapToGrid w:val="0"/>
        <w:spacing w:beforeLines="50" w:before="180"/>
        <w:ind w:left="-153"/>
        <w:jc w:val="both"/>
        <w:rPr>
          <w:rFonts w:ascii="標楷體" w:eastAsia="標楷體" w:hAnsi="標楷體"/>
          <w:sz w:val="28"/>
          <w:szCs w:val="28"/>
        </w:rPr>
      </w:pPr>
      <w:r w:rsidRPr="001F5ADD">
        <w:rPr>
          <w:rFonts w:ascii="標楷體" w:eastAsia="標楷體" w:hAnsi="標楷體" w:hint="eastAsia"/>
          <w:sz w:val="28"/>
          <w:szCs w:val="28"/>
        </w:rPr>
        <w:tab/>
      </w:r>
      <w:r w:rsidRPr="001F5ADD">
        <w:rPr>
          <w:rFonts w:ascii="標楷體" w:eastAsia="標楷體" w:hAnsi="標楷體"/>
          <w:sz w:val="28"/>
          <w:szCs w:val="28"/>
        </w:rPr>
        <w:t>第 五 章 其它作業程序事項</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第三十一條</w:t>
      </w:r>
      <w:r w:rsidRPr="001F5ADD">
        <w:rPr>
          <w:rFonts w:ascii="標楷體" w:eastAsia="標楷體" w:hAnsi="標楷體"/>
          <w:sz w:val="28"/>
          <w:szCs w:val="28"/>
        </w:rPr>
        <w:tab/>
      </w:r>
      <w:r w:rsidRPr="001F5ADD">
        <w:rPr>
          <w:rFonts w:ascii="標楷體" w:eastAsia="標楷體" w:hAnsi="標楷體" w:hint="eastAsia"/>
          <w:sz w:val="28"/>
          <w:szCs w:val="28"/>
        </w:rPr>
        <w:t>期貨信託事業及其基金銷售機構辦理基金銷售業務之人員，不得挪用客戶款項或受益憑證或有其他損及客戶權益之行為。</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第三十二條</w:t>
      </w:r>
      <w:r w:rsidRPr="001F5ADD">
        <w:rPr>
          <w:rFonts w:ascii="標楷體" w:eastAsia="標楷體" w:hAnsi="標楷體"/>
          <w:sz w:val="28"/>
          <w:szCs w:val="28"/>
        </w:rPr>
        <w:tab/>
      </w:r>
      <w:r w:rsidRPr="001F5ADD">
        <w:rPr>
          <w:rFonts w:ascii="標楷體" w:eastAsia="標楷體" w:hAnsi="標楷體" w:hint="eastAsia"/>
          <w:sz w:val="28"/>
          <w:szCs w:val="28"/>
        </w:rPr>
        <w:t>基金銷售機構應妥善保存辦理基金銷售業務之各項憑證，其保存方式及期限，依商業會計法及相關規定辦理。</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客戶申購期貨信託基金，如非以書面方式提出申請者，基金銷售機構應依法令或本公會所訂期貨信託基金電子交易作業準則相關規定辦理。</w:t>
      </w:r>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第三十三條</w:t>
      </w:r>
      <w:r w:rsidRPr="001F5ADD">
        <w:rPr>
          <w:rFonts w:ascii="標楷體" w:eastAsia="標楷體" w:hAnsi="標楷體" w:hint="eastAsia"/>
          <w:sz w:val="28"/>
          <w:szCs w:val="28"/>
        </w:rPr>
        <w:tab/>
        <w:t>基金銷售機構終止辦理基金銷售業務者，應即通知期貨信託事業，並由期貨信託事業於事實發生日起二日內，向本公會申報並公告。</w:t>
      </w:r>
    </w:p>
    <w:p w:rsidR="00B52968" w:rsidRPr="001F5ADD" w:rsidRDefault="00B52968" w:rsidP="00AE5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700" w:left="1680"/>
        <w:rPr>
          <w:rFonts w:ascii="標楷體" w:eastAsia="標楷體" w:hAnsi="標楷體" w:cs="細明體"/>
          <w:kern w:val="0"/>
          <w:sz w:val="28"/>
          <w:szCs w:val="28"/>
        </w:rPr>
      </w:pPr>
      <w:r w:rsidRPr="001F5ADD">
        <w:rPr>
          <w:rFonts w:ascii="標楷體" w:eastAsia="標楷體" w:hAnsi="標楷體" w:cs="細明體" w:hint="eastAsia"/>
          <w:kern w:val="0"/>
          <w:sz w:val="28"/>
          <w:szCs w:val="28"/>
        </w:rPr>
        <w:t>基金銷售機構終止辦理前項業務後，於轉由其他基金銷售機構辦理前，應協助客戶辦理後續基金之買回、轉換或其他相關事宜。</w:t>
      </w:r>
    </w:p>
    <w:p w:rsidR="00B52968" w:rsidRPr="001F5ADD" w:rsidRDefault="00B52968" w:rsidP="00AE5AF2">
      <w:pPr>
        <w:pStyle w:val="Layout"/>
        <w:tabs>
          <w:tab w:val="left" w:pos="672"/>
        </w:tabs>
        <w:kinsoku w:val="0"/>
        <w:snapToGrid w:val="0"/>
        <w:spacing w:beforeLines="50" w:before="180"/>
        <w:ind w:left="-153"/>
        <w:jc w:val="both"/>
        <w:rPr>
          <w:rFonts w:ascii="標楷體" w:eastAsia="標楷體" w:hAnsi="標楷體"/>
          <w:sz w:val="28"/>
          <w:szCs w:val="28"/>
        </w:rPr>
      </w:pPr>
      <w:r w:rsidRPr="001F5ADD">
        <w:rPr>
          <w:rFonts w:ascii="標楷體" w:eastAsia="標楷體" w:hAnsi="標楷體" w:hint="eastAsia"/>
          <w:sz w:val="28"/>
          <w:szCs w:val="28"/>
        </w:rPr>
        <w:tab/>
      </w:r>
      <w:bookmarkStart w:id="1" w:name="OLE_LINK1"/>
      <w:r w:rsidRPr="001F5ADD">
        <w:rPr>
          <w:rFonts w:ascii="標楷體" w:eastAsia="標楷體" w:hAnsi="標楷體"/>
          <w:sz w:val="28"/>
          <w:szCs w:val="28"/>
        </w:rPr>
        <w:t>第 六 章 附則</w:t>
      </w:r>
      <w:bookmarkEnd w:id="1"/>
    </w:p>
    <w:p w:rsidR="00B52968" w:rsidRPr="001F5ADD" w:rsidRDefault="00B52968" w:rsidP="00AE5AF2">
      <w:pPr>
        <w:pStyle w:val="Layout"/>
        <w:kinsoku w:val="0"/>
        <w:snapToGrid w:val="0"/>
        <w:ind w:leftChars="-63" w:left="1686" w:hangingChars="656" w:hanging="1837"/>
        <w:jc w:val="both"/>
        <w:rPr>
          <w:rFonts w:ascii="標楷體" w:eastAsia="標楷體" w:hAnsi="標楷體"/>
          <w:sz w:val="28"/>
          <w:szCs w:val="28"/>
        </w:rPr>
      </w:pPr>
      <w:r w:rsidRPr="001F5ADD">
        <w:rPr>
          <w:rFonts w:ascii="標楷體" w:eastAsia="標楷體" w:hAnsi="標楷體" w:hint="eastAsia"/>
          <w:sz w:val="28"/>
          <w:szCs w:val="28"/>
        </w:rPr>
        <w:t>第三十四條</w:t>
      </w:r>
      <w:r w:rsidRPr="001F5ADD">
        <w:rPr>
          <w:rFonts w:ascii="標楷體" w:eastAsia="標楷體" w:hAnsi="標楷體" w:hint="eastAsia"/>
          <w:sz w:val="28"/>
          <w:szCs w:val="28"/>
        </w:rPr>
        <w:tab/>
        <w:t>本作業程序經本公會理事會通過並報請金管會核定後施行；修正時，亦同。</w:t>
      </w:r>
    </w:p>
    <w:p w:rsidR="00B52968" w:rsidRPr="00B449F2" w:rsidRDefault="00B52968" w:rsidP="00B52968">
      <w:pPr>
        <w:jc w:val="both"/>
        <w:sectPr w:rsidR="00B52968" w:rsidRPr="00B449F2" w:rsidSect="001F5ADD">
          <w:footerReference w:type="even" r:id="rId8"/>
          <w:footerReference w:type="default" r:id="rId9"/>
          <w:pgSz w:w="11906" w:h="16838" w:code="9"/>
          <w:pgMar w:top="1259" w:right="1134" w:bottom="902" w:left="1418" w:header="851" w:footer="851" w:gutter="0"/>
          <w:cols w:space="425"/>
          <w:docGrid w:type="lines" w:linePitch="360"/>
        </w:sectPr>
      </w:pPr>
    </w:p>
    <w:p w:rsidR="00B52968" w:rsidRPr="00B449F2" w:rsidRDefault="00B52968" w:rsidP="00B52968">
      <w:pPr>
        <w:pStyle w:val="a8"/>
        <w:snapToGrid w:val="0"/>
        <w:spacing w:line="240" w:lineRule="atLeast"/>
        <w:ind w:left="1739" w:hanging="1259"/>
        <w:jc w:val="both"/>
        <w:rPr>
          <w:rFonts w:ascii="標楷體" w:eastAsia="標楷體" w:hAnsi="標楷體"/>
          <w:b/>
          <w:bCs/>
          <w:sz w:val="28"/>
        </w:rPr>
      </w:pPr>
      <w:r w:rsidRPr="00B449F2">
        <w:rPr>
          <w:rFonts w:ascii="標楷體" w:eastAsia="標楷體" w:hAnsi="標楷體" w:hint="eastAsia"/>
          <w:b/>
          <w:bCs/>
          <w:sz w:val="28"/>
        </w:rPr>
        <w:t>（附表一）</w:t>
      </w:r>
    </w:p>
    <w:p w:rsidR="00B52968" w:rsidRPr="00B449F2" w:rsidRDefault="00B52968" w:rsidP="00B52968">
      <w:pPr>
        <w:pStyle w:val="a8"/>
        <w:snapToGrid w:val="0"/>
        <w:spacing w:afterLines="100" w:after="360" w:line="240" w:lineRule="atLeast"/>
        <w:ind w:leftChars="-75" w:left="-180" w:rightChars="-86" w:right="-206"/>
        <w:jc w:val="center"/>
        <w:rPr>
          <w:rFonts w:ascii="標楷體" w:eastAsia="標楷體" w:hAnsi="標楷體"/>
          <w:b/>
          <w:bCs/>
          <w:sz w:val="28"/>
        </w:rPr>
      </w:pPr>
      <w:r w:rsidRPr="00B449F2">
        <w:rPr>
          <w:rFonts w:ascii="標楷體" w:eastAsia="標楷體" w:hAnsi="標楷體" w:hint="eastAsia"/>
          <w:b/>
          <w:bCs/>
          <w:sz w:val="28"/>
        </w:rPr>
        <w:t>期貨信託事業辦理期貨</w:t>
      </w:r>
      <w:r w:rsidRPr="00B449F2">
        <w:rPr>
          <w:rFonts w:ascii="標楷體" w:eastAsia="標楷體" w:hAnsi="標楷體" w:hint="eastAsia"/>
          <w:b/>
          <w:bCs/>
          <w:sz w:val="28"/>
          <w:szCs w:val="32"/>
        </w:rPr>
        <w:t>信託基金首次募集發行銷售作業</w:t>
      </w:r>
      <w:r w:rsidRPr="00B449F2">
        <w:rPr>
          <w:rFonts w:ascii="標楷體" w:eastAsia="標楷體" w:hAnsi="標楷體" w:hint="eastAsia"/>
          <w:b/>
          <w:bCs/>
          <w:sz w:val="28"/>
        </w:rPr>
        <w:t>申報書</w:t>
      </w:r>
    </w:p>
    <w:tbl>
      <w:tblPr>
        <w:tblW w:w="49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58"/>
        <w:gridCol w:w="3114"/>
        <w:gridCol w:w="496"/>
        <w:gridCol w:w="721"/>
        <w:gridCol w:w="716"/>
        <w:gridCol w:w="2719"/>
      </w:tblGrid>
      <w:tr w:rsidR="00B52968" w:rsidRPr="00B449F2" w:rsidTr="008C1F1C">
        <w:trPr>
          <w:cantSplit/>
          <w:trHeight w:val="405"/>
        </w:trPr>
        <w:tc>
          <w:tcPr>
            <w:tcW w:w="2747" w:type="pct"/>
            <w:gridSpan w:val="3"/>
            <w:vMerge w:val="restart"/>
            <w:vAlign w:val="center"/>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r w:rsidRPr="00B449F2">
              <w:rPr>
                <w:rFonts w:ascii="標楷體" w:eastAsia="標楷體" w:hAnsi="標楷體" w:hint="eastAsia"/>
                <w:szCs w:val="24"/>
              </w:rPr>
              <w:t>受文者：中華民國期貨業商業同業公會</w:t>
            </w:r>
          </w:p>
        </w:tc>
        <w:tc>
          <w:tcPr>
            <w:tcW w:w="391" w:type="pct"/>
            <w:vMerge w:val="restar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szCs w:val="24"/>
              </w:rPr>
            </w:pPr>
            <w:r w:rsidRPr="00B449F2">
              <w:rPr>
                <w:rFonts w:ascii="標楷體" w:eastAsia="標楷體" w:hAnsi="標楷體" w:hint="eastAsia"/>
                <w:szCs w:val="24"/>
              </w:rPr>
              <w:t>發文</w:t>
            </w:r>
          </w:p>
        </w:tc>
        <w:tc>
          <w:tcPr>
            <w:tcW w:w="388" w:type="pc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szCs w:val="24"/>
              </w:rPr>
            </w:pPr>
            <w:r w:rsidRPr="00B449F2">
              <w:rPr>
                <w:rFonts w:ascii="標楷體" w:eastAsia="標楷體" w:hAnsi="標楷體" w:hint="eastAsia"/>
                <w:szCs w:val="24"/>
              </w:rPr>
              <w:t>日期</w:t>
            </w:r>
          </w:p>
        </w:tc>
        <w:tc>
          <w:tcPr>
            <w:tcW w:w="1474" w:type="pct"/>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p>
        </w:tc>
      </w:tr>
      <w:tr w:rsidR="00B52968" w:rsidRPr="00B449F2" w:rsidTr="008C1F1C">
        <w:trPr>
          <w:cantSplit/>
          <w:trHeight w:val="405"/>
        </w:trPr>
        <w:tc>
          <w:tcPr>
            <w:tcW w:w="2747" w:type="pct"/>
            <w:gridSpan w:val="3"/>
            <w:vMerge/>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p>
        </w:tc>
        <w:tc>
          <w:tcPr>
            <w:tcW w:w="391" w:type="pct"/>
            <w:vMerge/>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p>
        </w:tc>
        <w:tc>
          <w:tcPr>
            <w:tcW w:w="388" w:type="pc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szCs w:val="24"/>
              </w:rPr>
            </w:pPr>
            <w:r w:rsidRPr="00B449F2">
              <w:rPr>
                <w:rFonts w:ascii="標楷體" w:eastAsia="標楷體" w:hAnsi="標楷體" w:hint="eastAsia"/>
                <w:szCs w:val="24"/>
              </w:rPr>
              <w:t>文號</w:t>
            </w:r>
          </w:p>
        </w:tc>
        <w:tc>
          <w:tcPr>
            <w:tcW w:w="1474" w:type="pct"/>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p>
        </w:tc>
      </w:tr>
      <w:tr w:rsidR="00B52968" w:rsidRPr="00B449F2" w:rsidTr="008C1F1C">
        <w:trPr>
          <w:trHeight w:val="1094"/>
        </w:trPr>
        <w:tc>
          <w:tcPr>
            <w:tcW w:w="5000" w:type="pct"/>
            <w:gridSpan w:val="6"/>
          </w:tcPr>
          <w:p w:rsidR="00B52968" w:rsidRPr="00B449F2" w:rsidRDefault="00B52968" w:rsidP="008C1F1C">
            <w:pPr>
              <w:snapToGrid w:val="0"/>
              <w:spacing w:beforeLines="50" w:before="180" w:line="240" w:lineRule="atLeast"/>
              <w:jc w:val="both"/>
              <w:rPr>
                <w:rFonts w:ascii="標楷體" w:eastAsia="標楷體" w:hAnsi="標楷體"/>
                <w:szCs w:val="24"/>
              </w:rPr>
            </w:pPr>
            <w:r w:rsidRPr="00B449F2">
              <w:rPr>
                <w:rFonts w:ascii="標楷體" w:eastAsia="標楷體" w:hAnsi="標楷體" w:hint="eastAsia"/>
                <w:szCs w:val="24"/>
              </w:rPr>
              <w:t>主  旨：依</w:t>
            </w:r>
            <w:r w:rsidRPr="00B449F2">
              <w:rPr>
                <w:rFonts w:ascii="標楷體" w:eastAsia="標楷體" w:hAnsi="標楷體" w:hint="eastAsia"/>
                <w:szCs w:val="36"/>
              </w:rPr>
              <w:t>期貨信託基金之募集、發行、銷售及申購買回作業程序</w:t>
            </w:r>
            <w:r w:rsidRPr="00B449F2">
              <w:rPr>
                <w:rFonts w:ascii="標楷體" w:eastAsia="標楷體" w:hAnsi="標楷體" w:hint="eastAsia"/>
                <w:szCs w:val="24"/>
              </w:rPr>
              <w:t>第十一條規定，申報</w:t>
            </w:r>
          </w:p>
          <w:p w:rsidR="00B52968" w:rsidRPr="00B449F2" w:rsidRDefault="00B52968" w:rsidP="008C1F1C">
            <w:pPr>
              <w:snapToGrid w:val="0"/>
              <w:spacing w:line="240" w:lineRule="atLeast"/>
              <w:ind w:firstLineChars="400" w:firstLine="960"/>
              <w:jc w:val="both"/>
              <w:rPr>
                <w:rFonts w:ascii="標楷體" w:eastAsia="標楷體" w:hAnsi="標楷體"/>
                <w:szCs w:val="24"/>
              </w:rPr>
            </w:pPr>
            <w:r w:rsidRPr="00B449F2">
              <w:rPr>
                <w:rFonts w:ascii="標楷體" w:eastAsia="標楷體" w:hAnsi="標楷體" w:hint="eastAsia"/>
                <w:szCs w:val="24"/>
              </w:rPr>
              <w:t>辦理下列期貨信託基金募集發行銷售作業及相關附件，請  查照。</w:t>
            </w:r>
          </w:p>
        </w:tc>
      </w:tr>
      <w:tr w:rsidR="00B52968" w:rsidRPr="00B449F2" w:rsidTr="008C1F1C">
        <w:trPr>
          <w:trHeight w:val="328"/>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52968">
              <w:rPr>
                <w:rFonts w:ascii="標楷體" w:eastAsia="標楷體" w:hAnsi="標楷體" w:hint="eastAsia"/>
                <w:kern w:val="0"/>
                <w:fitText w:val="960" w:id="1802646272"/>
              </w:rPr>
              <w:t>公司名稱</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基金發行</w:t>
            </w:r>
          </w:p>
          <w:p w:rsidR="00B52968" w:rsidRPr="00B449F2" w:rsidRDefault="00B52968" w:rsidP="008C1F1C">
            <w:pPr>
              <w:jc w:val="center"/>
              <w:rPr>
                <w:rFonts w:ascii="標楷體" w:eastAsia="標楷體" w:hAnsi="標楷體"/>
              </w:rPr>
            </w:pPr>
            <w:r w:rsidRPr="00B52968">
              <w:rPr>
                <w:rFonts w:ascii="標楷體" w:eastAsia="標楷體" w:hAnsi="標楷體" w:hint="eastAsia"/>
                <w:spacing w:val="240"/>
                <w:kern w:val="0"/>
                <w:fitText w:val="960" w:id="1802646273"/>
              </w:rPr>
              <w:t>地</w:t>
            </w:r>
            <w:r w:rsidRPr="00B52968">
              <w:rPr>
                <w:rFonts w:ascii="標楷體" w:eastAsia="標楷體" w:hAnsi="標楷體" w:hint="eastAsia"/>
                <w:kern w:val="0"/>
                <w:fitText w:val="960" w:id="1802646273"/>
              </w:rPr>
              <w:t>區</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rPr>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基金名稱</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基金投資</w:t>
            </w:r>
          </w:p>
          <w:p w:rsidR="00B52968" w:rsidRPr="00B449F2" w:rsidRDefault="00B52968" w:rsidP="008C1F1C">
            <w:pPr>
              <w:jc w:val="center"/>
              <w:rPr>
                <w:rFonts w:ascii="標楷體" w:eastAsia="標楷體" w:hAnsi="標楷體"/>
              </w:rPr>
            </w:pPr>
            <w:r w:rsidRPr="00B52968">
              <w:rPr>
                <w:rFonts w:ascii="標楷體" w:eastAsia="標楷體" w:hAnsi="標楷體" w:hint="eastAsia"/>
                <w:spacing w:val="240"/>
                <w:kern w:val="0"/>
                <w:fitText w:val="960" w:id="1802646274"/>
              </w:rPr>
              <w:t>地</w:t>
            </w:r>
            <w:r w:rsidRPr="00B52968">
              <w:rPr>
                <w:rFonts w:ascii="標楷體" w:eastAsia="標楷體" w:hAnsi="標楷體" w:hint="eastAsia"/>
                <w:kern w:val="0"/>
                <w:fitText w:val="960" w:id="1802646274"/>
              </w:rPr>
              <w:t>區</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rPr>
          <w:cantSplit/>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基金型態</w:t>
            </w:r>
          </w:p>
        </w:tc>
        <w:tc>
          <w:tcPr>
            <w:tcW w:w="4210" w:type="pct"/>
            <w:gridSpan w:val="5"/>
            <w:tcBorders>
              <w:bottom w:val="single" w:sz="4" w:space="0" w:color="auto"/>
            </w:tcBorders>
            <w:vAlign w:val="center"/>
          </w:tcPr>
          <w:p w:rsidR="00B52968" w:rsidRPr="00B449F2" w:rsidRDefault="00B52968" w:rsidP="00B52968">
            <w:pPr>
              <w:numPr>
                <w:ilvl w:val="0"/>
                <w:numId w:val="3"/>
              </w:numPr>
              <w:ind w:left="357" w:hanging="357"/>
              <w:jc w:val="both"/>
              <w:rPr>
                <w:rFonts w:ascii="標楷體" w:eastAsia="標楷體" w:hAnsi="標楷體"/>
              </w:rPr>
            </w:pPr>
            <w:r w:rsidRPr="00B449F2">
              <w:rPr>
                <w:rFonts w:ascii="標楷體" w:eastAsia="標楷體" w:hAnsi="標楷體" w:hint="eastAsia"/>
              </w:rPr>
              <w:t>開放式    □封閉式    □其他</w:t>
            </w:r>
          </w:p>
        </w:tc>
      </w:tr>
      <w:tr w:rsidR="00B52968" w:rsidRPr="00B449F2" w:rsidTr="008C1F1C">
        <w:trPr>
          <w:cantSplit/>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基金種類</w:t>
            </w:r>
          </w:p>
        </w:tc>
        <w:tc>
          <w:tcPr>
            <w:tcW w:w="4210" w:type="pct"/>
            <w:gridSpan w:val="5"/>
            <w:tcBorders>
              <w:bottom w:val="single" w:sz="4" w:space="0" w:color="auto"/>
            </w:tcBorders>
          </w:tcPr>
          <w:p w:rsidR="00B52968" w:rsidRPr="00B449F2" w:rsidRDefault="00B52968" w:rsidP="008C1F1C">
            <w:pPr>
              <w:rPr>
                <w:rFonts w:ascii="標楷體" w:eastAsia="標楷體" w:hAnsi="標楷體"/>
              </w:rPr>
            </w:pPr>
            <w:r w:rsidRPr="00B449F2">
              <w:rPr>
                <w:rFonts w:ascii="標楷體" w:eastAsia="標楷體" w:hAnsi="標楷體" w:hint="eastAsia"/>
              </w:rPr>
              <w:t xml:space="preserve">□ 傘型    □ 組合型    □ 保本型    □ 一般型   □ 指數股票型 </w:t>
            </w:r>
          </w:p>
        </w:tc>
      </w:tr>
      <w:tr w:rsidR="00B52968" w:rsidRPr="00B449F2" w:rsidTr="008C1F1C">
        <w:trPr>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募集總面額</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每單位</w:t>
            </w:r>
          </w:p>
          <w:p w:rsidR="00B52968" w:rsidRPr="00B449F2" w:rsidRDefault="00B52968" w:rsidP="008C1F1C">
            <w:pPr>
              <w:jc w:val="center"/>
              <w:rPr>
                <w:rFonts w:ascii="標楷體" w:eastAsia="標楷體" w:hAnsi="標楷體"/>
              </w:rPr>
            </w:pPr>
            <w:r w:rsidRPr="00B449F2">
              <w:rPr>
                <w:rFonts w:ascii="標楷體" w:eastAsia="標楷體" w:hAnsi="標楷體" w:hint="eastAsia"/>
              </w:rPr>
              <w:t>面額</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rPr>
            </w:pPr>
            <w:r w:rsidRPr="00B449F2">
              <w:rPr>
                <w:rFonts w:ascii="標楷體" w:eastAsia="標楷體" w:hAnsi="標楷體" w:hint="eastAsia"/>
              </w:rPr>
              <w:t>核准募集發行銷售之受益權單位總數：</w:t>
            </w:r>
          </w:p>
        </w:tc>
      </w:tr>
      <w:tr w:rsidR="00B52968" w:rsidRPr="00B449F2" w:rsidTr="008C1F1C">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rPr>
            </w:pPr>
            <w:r w:rsidRPr="00B449F2">
              <w:rPr>
                <w:rFonts w:ascii="標楷體" w:eastAsia="標楷體" w:hAnsi="標楷體" w:hint="eastAsia"/>
              </w:rPr>
              <w:t>應募足之最低淨發行總面額：</w:t>
            </w:r>
          </w:p>
        </w:tc>
      </w:tr>
      <w:tr w:rsidR="00B52968" w:rsidRPr="00B449F2" w:rsidTr="008C1F1C">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rPr>
            </w:pPr>
            <w:r w:rsidRPr="00B449F2">
              <w:rPr>
                <w:rFonts w:ascii="標楷體" w:eastAsia="標楷體" w:hAnsi="標楷體" w:hint="eastAsia"/>
              </w:rPr>
              <w:t>募集期間：（自開始募集日    年    月    日 　　迄　　 年　　　月　　　日　）</w:t>
            </w:r>
          </w:p>
        </w:tc>
      </w:tr>
      <w:tr w:rsidR="00B52968" w:rsidRPr="00B449F2" w:rsidTr="008C1F1C">
        <w:trPr>
          <w:trHeight w:val="2224"/>
        </w:trPr>
        <w:tc>
          <w:tcPr>
            <w:tcW w:w="790" w:type="pct"/>
            <w:vAlign w:val="center"/>
          </w:tcPr>
          <w:p w:rsidR="00B52968" w:rsidRPr="00B449F2" w:rsidRDefault="00B52968" w:rsidP="008C1F1C">
            <w:pPr>
              <w:snapToGrid w:val="0"/>
              <w:jc w:val="center"/>
              <w:rPr>
                <w:rFonts w:ascii="標楷體" w:eastAsia="標楷體" w:hAnsi="標楷體"/>
              </w:rPr>
            </w:pPr>
            <w:r w:rsidRPr="00B449F2">
              <w:rPr>
                <w:rFonts w:ascii="標楷體" w:eastAsia="標楷體" w:hAnsi="標楷體" w:hint="eastAsia"/>
              </w:rPr>
              <w:t>附件</w:t>
            </w:r>
          </w:p>
        </w:tc>
        <w:tc>
          <w:tcPr>
            <w:tcW w:w="4210" w:type="pct"/>
            <w:gridSpan w:val="5"/>
            <w:vAlign w:val="center"/>
          </w:tcPr>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期貨信託基金委任基金銷售機構彙總表。                  </w:t>
            </w:r>
          </w:p>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募集公告稿。                            </w:t>
            </w:r>
          </w:p>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修正後公開說明書稿本（申請日或開始募集之前一個月之公開說明書）。    </w:t>
            </w:r>
          </w:p>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金管會募集同意函影本。    </w:t>
            </w:r>
          </w:p>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其他依規定應檢具之文件。    </w:t>
            </w:r>
          </w:p>
          <w:p w:rsidR="00B52968" w:rsidRPr="00B449F2" w:rsidRDefault="00B52968" w:rsidP="008C1F1C">
            <w:pPr>
              <w:snapToGrid w:val="0"/>
              <w:jc w:val="both"/>
              <w:rPr>
                <w:rFonts w:ascii="標楷體" w:eastAsia="標楷體" w:hAnsi="標楷體"/>
              </w:rPr>
            </w:pPr>
            <w:r w:rsidRPr="00B449F2">
              <w:rPr>
                <w:rFonts w:ascii="標楷體" w:eastAsia="標楷體" w:hAnsi="標楷體" w:hint="eastAsia"/>
              </w:rPr>
              <w:t xml:space="preserve">                                                                          </w:t>
            </w:r>
          </w:p>
        </w:tc>
      </w:tr>
      <w:tr w:rsidR="00B52968" w:rsidRPr="00B449F2" w:rsidTr="008C1F1C">
        <w:trPr>
          <w:trHeight w:val="1038"/>
        </w:trPr>
        <w:tc>
          <w:tcPr>
            <w:tcW w:w="5000" w:type="pct"/>
            <w:gridSpan w:val="6"/>
            <w:tcBorders>
              <w:bottom w:val="single" w:sz="4" w:space="0" w:color="auto"/>
            </w:tcBorders>
          </w:tcPr>
          <w:p w:rsidR="00B52968" w:rsidRPr="00B449F2" w:rsidRDefault="00B52968" w:rsidP="008C1F1C">
            <w:pPr>
              <w:snapToGrid w:val="0"/>
              <w:spacing w:line="0" w:lineRule="atLeast"/>
              <w:rPr>
                <w:rFonts w:ascii="標楷體" w:eastAsia="標楷體" w:hAnsi="標楷體"/>
              </w:rPr>
            </w:pPr>
            <w:r w:rsidRPr="00B449F2">
              <w:rPr>
                <w:rFonts w:ascii="標楷體" w:eastAsia="標楷體" w:hAnsi="標楷體" w:hint="eastAsia"/>
              </w:rPr>
              <w:t>申報人：○○○      期貨信託股份有限公司</w:t>
            </w:r>
          </w:p>
          <w:p w:rsidR="00B52968" w:rsidRPr="00B449F2" w:rsidRDefault="00B52968" w:rsidP="008C1F1C">
            <w:pPr>
              <w:snapToGrid w:val="0"/>
              <w:spacing w:line="0" w:lineRule="atLeast"/>
              <w:rPr>
                <w:rFonts w:ascii="標楷體" w:eastAsia="標楷體" w:hAnsi="標楷體"/>
              </w:rPr>
            </w:pPr>
            <w:r w:rsidRPr="00B449F2">
              <w:rPr>
                <w:rFonts w:ascii="標楷體" w:eastAsia="標楷體" w:hAnsi="標楷體" w:hint="eastAsia"/>
              </w:rPr>
              <w:t>負責人：</w:t>
            </w:r>
          </w:p>
          <w:p w:rsidR="00B52968" w:rsidRPr="00B449F2" w:rsidRDefault="00B52968" w:rsidP="008C1F1C">
            <w:pPr>
              <w:snapToGrid w:val="0"/>
              <w:spacing w:line="0" w:lineRule="atLeast"/>
              <w:rPr>
                <w:rFonts w:ascii="標楷體" w:eastAsia="標楷體" w:hAnsi="標楷體"/>
              </w:rPr>
            </w:pPr>
            <w:r w:rsidRPr="00B449F2">
              <w:rPr>
                <w:rFonts w:ascii="標楷體" w:eastAsia="標楷體" w:hAnsi="標楷體" w:hint="eastAsia"/>
              </w:rPr>
              <w:t>地  址：</w:t>
            </w:r>
          </w:p>
          <w:p w:rsidR="00B52968" w:rsidRPr="00B449F2" w:rsidRDefault="00B52968" w:rsidP="008C1F1C">
            <w:pPr>
              <w:snapToGrid w:val="0"/>
              <w:spacing w:line="0" w:lineRule="atLeast"/>
              <w:rPr>
                <w:rFonts w:ascii="標楷體" w:eastAsia="標楷體" w:hAnsi="標楷體"/>
              </w:rPr>
            </w:pPr>
            <w:r w:rsidRPr="00B449F2">
              <w:rPr>
                <w:rFonts w:ascii="標楷體" w:eastAsia="標楷體" w:hAnsi="標楷體" w:hint="eastAsia"/>
              </w:rPr>
              <w:t>聯絡人及電話：</w:t>
            </w:r>
          </w:p>
          <w:p w:rsidR="00B52968" w:rsidRPr="00B449F2" w:rsidRDefault="00B52968" w:rsidP="008C1F1C">
            <w:pPr>
              <w:snapToGrid w:val="0"/>
              <w:spacing w:line="0" w:lineRule="atLeast"/>
              <w:rPr>
                <w:rFonts w:ascii="標楷體" w:eastAsia="標楷體" w:hAnsi="標楷體"/>
              </w:rPr>
            </w:pPr>
          </w:p>
        </w:tc>
      </w:tr>
    </w:tbl>
    <w:p w:rsidR="00B52968" w:rsidRPr="00B449F2" w:rsidRDefault="00B52968" w:rsidP="00B52968">
      <w:pPr>
        <w:snapToGrid w:val="0"/>
        <w:spacing w:beforeLines="50" w:before="180" w:line="240" w:lineRule="atLeast"/>
        <w:ind w:left="900" w:hangingChars="375" w:hanging="900"/>
        <w:rPr>
          <w:rFonts w:ascii="標楷體" w:eastAsia="標楷體" w:hAnsi="標楷體"/>
        </w:rPr>
      </w:pPr>
      <w:r w:rsidRPr="00B449F2">
        <w:rPr>
          <w:rFonts w:ascii="標楷體" w:eastAsia="標楷體" w:hAnsi="標楷體" w:hint="eastAsia"/>
        </w:rPr>
        <w:t>附 註：本申報書暨附件應以長二十九．七公分、寬二十一公分用紙( 即影印用紙A4 )印製、裝訂成冊，並於封面註明申報書件之字樣、及期貨信託事業名稱、地址、電話。</w:t>
      </w:r>
    </w:p>
    <w:p w:rsidR="00B52968" w:rsidRPr="00B449F2" w:rsidRDefault="00B52968" w:rsidP="00B52968">
      <w:pPr>
        <w:snapToGrid w:val="0"/>
        <w:spacing w:beforeLines="50" w:before="180" w:line="240" w:lineRule="atLeast"/>
        <w:ind w:left="900" w:hangingChars="375" w:hanging="900"/>
        <w:rPr>
          <w:rFonts w:ascii="標楷體" w:eastAsia="標楷體" w:hAnsi="標楷體"/>
        </w:rPr>
      </w:pPr>
    </w:p>
    <w:p w:rsidR="00B52968" w:rsidRPr="00B449F2" w:rsidRDefault="00B52968" w:rsidP="00B52968">
      <w:pPr>
        <w:pStyle w:val="a8"/>
        <w:snapToGrid w:val="0"/>
        <w:spacing w:line="240" w:lineRule="atLeast"/>
        <w:ind w:left="1739" w:hanging="1259"/>
        <w:jc w:val="both"/>
        <w:rPr>
          <w:rFonts w:ascii="標楷體" w:eastAsia="標楷體" w:hAnsi="標楷體"/>
          <w:b/>
          <w:bCs/>
          <w:sz w:val="28"/>
        </w:rPr>
      </w:pPr>
      <w:r w:rsidRPr="00B449F2">
        <w:rPr>
          <w:rFonts w:ascii="標楷體" w:eastAsia="標楷體" w:hAnsi="標楷體" w:hint="eastAsia"/>
          <w:b/>
          <w:bCs/>
          <w:sz w:val="28"/>
        </w:rPr>
        <w:t>（附表二）</w:t>
      </w:r>
    </w:p>
    <w:p w:rsidR="00B52968" w:rsidRPr="00B449F2" w:rsidRDefault="00B52968" w:rsidP="00B52968">
      <w:pPr>
        <w:snapToGrid w:val="0"/>
        <w:spacing w:line="240" w:lineRule="atLeast"/>
        <w:rPr>
          <w:rFonts w:ascii="標楷體" w:eastAsia="標楷體" w:hAnsi="標楷體"/>
          <w:sz w:val="28"/>
        </w:rPr>
      </w:pPr>
    </w:p>
    <w:p w:rsidR="00B52968" w:rsidRPr="00B449F2" w:rsidRDefault="00B52968" w:rsidP="00B52968">
      <w:pPr>
        <w:snapToGrid w:val="0"/>
        <w:spacing w:line="240" w:lineRule="atLeast"/>
        <w:rPr>
          <w:rFonts w:ascii="標楷體" w:eastAsia="標楷體" w:hAnsi="標楷體"/>
          <w:sz w:val="28"/>
        </w:rPr>
      </w:pPr>
    </w:p>
    <w:p w:rsidR="00B52968" w:rsidRPr="00B449F2" w:rsidRDefault="00B52968" w:rsidP="00B52968">
      <w:pPr>
        <w:snapToGrid w:val="0"/>
        <w:spacing w:line="240" w:lineRule="atLeast"/>
        <w:jc w:val="center"/>
        <w:rPr>
          <w:rFonts w:ascii="標楷體" w:eastAsia="標楷體" w:hAnsi="標楷體"/>
          <w:b/>
          <w:bCs/>
          <w:sz w:val="28"/>
        </w:rPr>
      </w:pPr>
      <w:r w:rsidRPr="00B449F2">
        <w:rPr>
          <w:rFonts w:ascii="標楷體" w:eastAsia="標楷體" w:hAnsi="標楷體" w:hint="eastAsia"/>
          <w:b/>
          <w:bCs/>
          <w:sz w:val="28"/>
        </w:rPr>
        <w:t xml:space="preserve"> 期貨信託基金委任基金銷售機構彙總表</w:t>
      </w:r>
    </w:p>
    <w:p w:rsidR="00B52968" w:rsidRPr="00B449F2" w:rsidRDefault="00B52968" w:rsidP="00B52968">
      <w:pPr>
        <w:snapToGrid w:val="0"/>
        <w:spacing w:line="240" w:lineRule="atLeast"/>
        <w:jc w:val="center"/>
        <w:rPr>
          <w:rFonts w:ascii="標楷體" w:eastAsia="標楷體" w:hAnsi="標楷體"/>
          <w:b/>
          <w:bCs/>
        </w:rPr>
      </w:pPr>
    </w:p>
    <w:p w:rsidR="00B52968" w:rsidRPr="00B449F2" w:rsidRDefault="00B52968" w:rsidP="00B52968">
      <w:pPr>
        <w:snapToGrid w:val="0"/>
        <w:spacing w:line="240" w:lineRule="atLeast"/>
        <w:jc w:val="center"/>
        <w:rPr>
          <w:rFonts w:ascii="標楷體" w:eastAsia="標楷體" w:hAnsi="標楷體"/>
          <w:b/>
          <w:bCs/>
        </w:rPr>
      </w:pPr>
    </w:p>
    <w:p w:rsidR="00B52968" w:rsidRPr="00B449F2" w:rsidRDefault="00B52968" w:rsidP="00B52968">
      <w:pPr>
        <w:snapToGrid w:val="0"/>
        <w:spacing w:line="240" w:lineRule="atLeast"/>
        <w:jc w:val="both"/>
        <w:rPr>
          <w:rFonts w:ascii="標楷體" w:eastAsia="標楷體" w:hAnsi="標楷體"/>
        </w:rPr>
      </w:pPr>
      <w:r w:rsidRPr="00B449F2">
        <w:rPr>
          <w:rFonts w:ascii="標楷體" w:eastAsia="標楷體" w:hAnsi="標楷體" w:hint="eastAsia"/>
        </w:rPr>
        <w:t>受益憑證發行公司：            期貨信託股份有限公司</w:t>
      </w:r>
    </w:p>
    <w:p w:rsidR="00B52968" w:rsidRPr="00B449F2" w:rsidRDefault="00B52968" w:rsidP="00B52968">
      <w:pPr>
        <w:snapToGrid w:val="0"/>
        <w:spacing w:beforeLines="50" w:before="180" w:line="240" w:lineRule="atLeast"/>
        <w:jc w:val="both"/>
        <w:rPr>
          <w:rFonts w:ascii="標楷體" w:eastAsia="標楷體" w:hAnsi="標楷體"/>
        </w:rPr>
      </w:pPr>
      <w:r w:rsidRPr="00B449F2">
        <w:rPr>
          <w:rFonts w:ascii="標楷體" w:eastAsia="標楷體" w:hAnsi="標楷體" w:hint="eastAsia"/>
        </w:rPr>
        <w:t>銷售之受益憑證：              期貨信託基金</w:t>
      </w:r>
    </w:p>
    <w:p w:rsidR="00B52968" w:rsidRPr="00B449F2" w:rsidRDefault="00B52968" w:rsidP="00B52968">
      <w:pPr>
        <w:snapToGrid w:val="0"/>
        <w:spacing w:beforeLines="50" w:before="180" w:line="240" w:lineRule="atLeast"/>
        <w:jc w:val="both"/>
        <w:rPr>
          <w:rFonts w:ascii="標楷體" w:eastAsia="標楷體" w:hAnsi="標楷體"/>
        </w:rPr>
      </w:pPr>
      <w:r w:rsidRPr="00B449F2">
        <w:rPr>
          <w:rFonts w:ascii="標楷體" w:eastAsia="標楷體" w:hAnsi="標楷體" w:hint="eastAsia"/>
        </w:rPr>
        <w:t xml:space="preserve">核准銷售受益憑證單位總數：               　　          </w:t>
      </w:r>
    </w:p>
    <w:p w:rsidR="00B52968" w:rsidRPr="00B449F2" w:rsidRDefault="00B52968" w:rsidP="00B52968">
      <w:pPr>
        <w:snapToGrid w:val="0"/>
        <w:spacing w:line="240" w:lineRule="atLeast"/>
        <w:jc w:val="both"/>
        <w:rPr>
          <w:rFonts w:ascii="標楷體" w:eastAsia="標楷體" w:hAnsi="標楷體"/>
        </w:rPr>
      </w:pPr>
    </w:p>
    <w:p w:rsidR="00B52968" w:rsidRPr="00B449F2" w:rsidRDefault="00B52968" w:rsidP="00B52968">
      <w:pPr>
        <w:snapToGrid w:val="0"/>
        <w:spacing w:line="240" w:lineRule="atLeast"/>
        <w:jc w:val="both"/>
        <w:rPr>
          <w:rFonts w:ascii="標楷體" w:eastAsia="標楷體" w:hAnsi="標楷體"/>
        </w:rPr>
      </w:pPr>
      <w:r w:rsidRPr="00B449F2">
        <w:rPr>
          <w:rFonts w:ascii="標楷體" w:eastAsia="標楷體" w:hAnsi="標楷體" w:hint="eastAsia"/>
        </w:rPr>
        <w:t xml:space="preserve">配予基金銷售機構銷售之受益憑證單位總數：　　  　　　　　　　</w:t>
      </w:r>
    </w:p>
    <w:p w:rsidR="00B52968" w:rsidRPr="00B449F2" w:rsidRDefault="00B52968" w:rsidP="00B52968">
      <w:pPr>
        <w:snapToGrid w:val="0"/>
        <w:spacing w:beforeLines="50" w:before="180" w:line="240" w:lineRule="atLeast"/>
        <w:jc w:val="both"/>
        <w:rPr>
          <w:rFonts w:ascii="標楷體" w:eastAsia="標楷體" w:hAnsi="標楷體"/>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88"/>
        <w:gridCol w:w="1080"/>
        <w:gridCol w:w="4500"/>
        <w:gridCol w:w="1980"/>
      </w:tblGrid>
      <w:tr w:rsidR="00B52968" w:rsidRPr="00B449F2" w:rsidTr="008C1F1C">
        <w:tc>
          <w:tcPr>
            <w:tcW w:w="2188"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b/>
                <w:bCs/>
              </w:rPr>
            </w:pPr>
            <w:r w:rsidRPr="00B449F2">
              <w:rPr>
                <w:rFonts w:ascii="標楷體" w:eastAsia="標楷體" w:hAnsi="標楷體" w:hint="eastAsia"/>
                <w:b/>
                <w:bCs/>
              </w:rPr>
              <w:t>基金銷售機構總行</w:t>
            </w:r>
          </w:p>
          <w:p w:rsidR="00B52968" w:rsidRPr="00B449F2" w:rsidRDefault="00B52968" w:rsidP="008C1F1C">
            <w:pPr>
              <w:snapToGrid w:val="0"/>
              <w:spacing w:afterLines="50" w:after="180" w:line="240" w:lineRule="atLeast"/>
              <w:jc w:val="center"/>
              <w:rPr>
                <w:rFonts w:ascii="標楷體" w:eastAsia="標楷體" w:hAnsi="標楷體"/>
                <w:b/>
                <w:bCs/>
              </w:rPr>
            </w:pPr>
            <w:r w:rsidRPr="00B449F2">
              <w:rPr>
                <w:rFonts w:ascii="標楷體" w:eastAsia="標楷體" w:hAnsi="標楷體" w:hint="eastAsia"/>
                <w:b/>
                <w:bCs/>
              </w:rPr>
              <w:t>或總公司名稱</w:t>
            </w:r>
          </w:p>
        </w:tc>
        <w:tc>
          <w:tcPr>
            <w:tcW w:w="108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b/>
                <w:bCs/>
              </w:rPr>
            </w:pPr>
            <w:r w:rsidRPr="00B449F2">
              <w:rPr>
                <w:rFonts w:ascii="標楷體" w:eastAsia="標楷體" w:hAnsi="標楷體" w:hint="eastAsia"/>
                <w:b/>
                <w:bCs/>
              </w:rPr>
              <w:t>負責人</w:t>
            </w:r>
          </w:p>
        </w:tc>
        <w:tc>
          <w:tcPr>
            <w:tcW w:w="450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b/>
                <w:bCs/>
              </w:rPr>
            </w:pPr>
            <w:r w:rsidRPr="00B449F2">
              <w:rPr>
                <w:rFonts w:ascii="標楷體" w:eastAsia="標楷體" w:hAnsi="標楷體" w:hint="eastAsia"/>
                <w:b/>
                <w:bCs/>
              </w:rPr>
              <w:t>地   址</w:t>
            </w:r>
          </w:p>
        </w:tc>
        <w:tc>
          <w:tcPr>
            <w:tcW w:w="198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b/>
                <w:bCs/>
              </w:rPr>
            </w:pPr>
            <w:r w:rsidRPr="00B449F2">
              <w:rPr>
                <w:rFonts w:ascii="標楷體" w:eastAsia="標楷體" w:hAnsi="標楷體" w:hint="eastAsia"/>
                <w:b/>
                <w:bCs/>
              </w:rPr>
              <w:t>得銷售之受益</w:t>
            </w:r>
          </w:p>
          <w:p w:rsidR="00B52968" w:rsidRPr="00B449F2" w:rsidRDefault="00B52968" w:rsidP="008C1F1C">
            <w:pPr>
              <w:snapToGrid w:val="0"/>
              <w:spacing w:afterLines="50" w:after="180" w:line="240" w:lineRule="atLeast"/>
              <w:jc w:val="center"/>
              <w:rPr>
                <w:rFonts w:ascii="標楷體" w:eastAsia="標楷體" w:hAnsi="標楷體"/>
                <w:b/>
                <w:bCs/>
              </w:rPr>
            </w:pPr>
            <w:r w:rsidRPr="00B449F2">
              <w:rPr>
                <w:rFonts w:ascii="標楷體" w:eastAsia="標楷體" w:hAnsi="標楷體" w:hint="eastAsia"/>
                <w:b/>
                <w:bCs/>
              </w:rPr>
              <w:t>憑證單位數量</w:t>
            </w:r>
          </w:p>
        </w:tc>
      </w:tr>
      <w:tr w:rsidR="00B52968" w:rsidRPr="00B449F2" w:rsidTr="008C1F1C">
        <w:tc>
          <w:tcPr>
            <w:tcW w:w="2188"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Borders>
              <w:top w:val="single" w:sz="12" w:space="0" w:color="auto"/>
            </w:tcBorders>
          </w:tcPr>
          <w:p w:rsidR="00B52968" w:rsidRPr="00B449F2" w:rsidRDefault="00B52968" w:rsidP="008C1F1C">
            <w:pPr>
              <w:snapToGrid w:val="0"/>
              <w:spacing w:beforeLines="50" w:before="180" w:afterLines="50" w:after="180" w:line="240" w:lineRule="atLeast"/>
              <w:jc w:val="center"/>
              <w:rPr>
                <w:rFonts w:ascii="標楷體" w:eastAsia="標楷體" w:hAnsi="標楷體"/>
                <w:b/>
                <w:bCs/>
                <w:sz w:val="28"/>
              </w:rPr>
            </w:pPr>
            <w:r w:rsidRPr="00B449F2">
              <w:rPr>
                <w:rFonts w:ascii="標楷體" w:eastAsia="標楷體" w:hAnsi="標楷體" w:hint="eastAsia"/>
                <w:b/>
                <w:bCs/>
                <w:sz w:val="28"/>
              </w:rPr>
              <w:t>總　計</w:t>
            </w:r>
          </w:p>
        </w:tc>
        <w:tc>
          <w:tcPr>
            <w:tcW w:w="10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bl>
    <w:p w:rsidR="00B52968" w:rsidRPr="00B449F2" w:rsidRDefault="00B52968" w:rsidP="007D17C8">
      <w:pPr>
        <w:jc w:val="both"/>
        <w:rPr>
          <w:rFonts w:ascii="標楷體" w:eastAsia="標楷體" w:hAnsi="標楷體"/>
        </w:rPr>
      </w:pPr>
    </w:p>
    <w:p w:rsidR="00B52968" w:rsidRDefault="00B52968">
      <w:pPr>
        <w:sectPr w:rsidR="00B52968" w:rsidSect="00772A06">
          <w:pgSz w:w="11906" w:h="16838" w:code="9"/>
          <w:pgMar w:top="1259" w:right="1134" w:bottom="902" w:left="1418" w:header="851" w:footer="992" w:gutter="0"/>
          <w:cols w:space="425"/>
          <w:docGrid w:type="lines" w:linePitch="360"/>
        </w:sectPr>
      </w:pPr>
    </w:p>
    <w:p w:rsidR="00B338D1" w:rsidRDefault="00B338D1" w:rsidP="00B338D1">
      <w:pPr>
        <w:spacing w:line="480" w:lineRule="exact"/>
        <w:rPr>
          <w:rFonts w:ascii="標楷體" w:eastAsia="標楷體" w:hAnsi="標楷體"/>
          <w:bCs/>
          <w:sz w:val="32"/>
          <w:szCs w:val="40"/>
        </w:rPr>
      </w:pPr>
      <w:r w:rsidRPr="00B23FC2">
        <w:rPr>
          <w:rFonts w:ascii="標楷體" w:eastAsia="標楷體" w:hAnsi="標楷體" w:hint="eastAsia"/>
          <w:bCs/>
          <w:sz w:val="32"/>
          <w:szCs w:val="40"/>
        </w:rPr>
        <w:t>期貨信託基金之募集、發行、銷售及申購買回作業程序</w:t>
      </w:r>
    </w:p>
    <w:p w:rsidR="00B338D1" w:rsidRPr="00B23FC2" w:rsidRDefault="00B338D1" w:rsidP="00B338D1">
      <w:pPr>
        <w:spacing w:line="480" w:lineRule="exact"/>
        <w:rPr>
          <w:rFonts w:ascii="標楷體" w:eastAsia="標楷體" w:hAnsi="標楷體"/>
          <w:bCs/>
          <w:sz w:val="32"/>
          <w:szCs w:val="40"/>
        </w:rPr>
      </w:pPr>
      <w:r w:rsidRPr="00B23FC2">
        <w:rPr>
          <w:rFonts w:ascii="標楷體" w:eastAsia="標楷體" w:hAnsi="標楷體" w:hint="eastAsia"/>
          <w:bCs/>
          <w:sz w:val="32"/>
          <w:szCs w:val="40"/>
        </w:rPr>
        <w:t>第二十一條之二修正條文對照表</w:t>
      </w:r>
    </w:p>
    <w:tbl>
      <w:tblPr>
        <w:tblW w:w="507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372"/>
        <w:gridCol w:w="3278"/>
        <w:gridCol w:w="3254"/>
      </w:tblGrid>
      <w:tr w:rsidR="00B338D1" w:rsidRPr="00C41429" w:rsidTr="002526D8">
        <w:trPr>
          <w:trHeight w:val="538"/>
          <w:tblHeader/>
        </w:trPr>
        <w:tc>
          <w:tcPr>
            <w:tcW w:w="1702" w:type="pct"/>
            <w:vAlign w:val="center"/>
          </w:tcPr>
          <w:p w:rsidR="00B338D1" w:rsidRPr="00C41429" w:rsidRDefault="00B338D1" w:rsidP="00252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Cs w:val="28"/>
              </w:rPr>
            </w:pPr>
            <w:r>
              <w:rPr>
                <w:rFonts w:ascii="標楷體" w:eastAsia="標楷體" w:hAnsi="標楷體" w:hint="eastAsia"/>
                <w:b/>
                <w:szCs w:val="28"/>
              </w:rPr>
              <w:t>建議</w:t>
            </w:r>
            <w:r w:rsidRPr="00C41429">
              <w:rPr>
                <w:rFonts w:ascii="標楷體" w:eastAsia="標楷體" w:hAnsi="標楷體" w:hint="eastAsia"/>
                <w:b/>
                <w:szCs w:val="28"/>
              </w:rPr>
              <w:t>修正條文</w:t>
            </w:r>
          </w:p>
        </w:tc>
        <w:tc>
          <w:tcPr>
            <w:tcW w:w="1655" w:type="pct"/>
            <w:vAlign w:val="center"/>
          </w:tcPr>
          <w:p w:rsidR="00B338D1" w:rsidRPr="00C41429" w:rsidRDefault="00B338D1" w:rsidP="00252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Cs w:val="28"/>
              </w:rPr>
            </w:pPr>
            <w:r>
              <w:rPr>
                <w:rFonts w:ascii="標楷體" w:eastAsia="標楷體" w:hAnsi="標楷體" w:hint="eastAsia"/>
                <w:b/>
                <w:szCs w:val="28"/>
              </w:rPr>
              <w:t>現行</w:t>
            </w:r>
            <w:r w:rsidRPr="00C41429">
              <w:rPr>
                <w:rFonts w:ascii="標楷體" w:eastAsia="標楷體" w:hAnsi="標楷體" w:hint="eastAsia"/>
                <w:b/>
                <w:szCs w:val="28"/>
              </w:rPr>
              <w:t>條文</w:t>
            </w:r>
          </w:p>
        </w:tc>
        <w:tc>
          <w:tcPr>
            <w:tcW w:w="1643" w:type="pct"/>
            <w:vAlign w:val="center"/>
          </w:tcPr>
          <w:p w:rsidR="00B338D1" w:rsidRPr="00C41429" w:rsidRDefault="00B338D1" w:rsidP="002526D8">
            <w:pPr>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說    明</w:t>
            </w:r>
          </w:p>
        </w:tc>
      </w:tr>
      <w:tr w:rsidR="00B338D1" w:rsidRPr="00C41429" w:rsidTr="002526D8">
        <w:trPr>
          <w:trHeight w:val="50"/>
        </w:trPr>
        <w:tc>
          <w:tcPr>
            <w:tcW w:w="1702" w:type="pct"/>
          </w:tcPr>
          <w:p w:rsidR="00B338D1" w:rsidRPr="00AD3883" w:rsidRDefault="00B338D1" w:rsidP="00252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Arial"/>
                <w:color w:val="0000FF"/>
                <w:kern w:val="0"/>
                <w:szCs w:val="28"/>
                <w:u w:val="single"/>
              </w:rPr>
            </w:pPr>
            <w:r w:rsidRPr="00AD3883">
              <w:rPr>
                <w:rFonts w:ascii="標楷體" w:eastAsia="標楷體" w:hAnsi="標楷體" w:cs="Arial" w:hint="eastAsia"/>
                <w:color w:val="0000FF"/>
                <w:kern w:val="0"/>
                <w:szCs w:val="28"/>
                <w:u w:val="single"/>
              </w:rPr>
              <w:t>第二十一條之二</w:t>
            </w:r>
          </w:p>
          <w:p w:rsidR="00B338D1" w:rsidRPr="00AD3883" w:rsidRDefault="00B338D1" w:rsidP="002526D8">
            <w:pPr>
              <w:pStyle w:val="Default"/>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期貨信託事業應依公平、合理之原則於內部控制制度中訂定</w:t>
            </w:r>
            <w:r w:rsidRPr="00457A0D">
              <w:rPr>
                <w:rFonts w:ascii="標楷體" w:eastAsia="標楷體" w:hAnsi="標楷體" w:cs="Arial" w:hint="eastAsia"/>
                <w:color w:val="0000FF"/>
                <w:szCs w:val="28"/>
                <w:u w:val="single"/>
              </w:rPr>
              <w:t>指數股票型期貨信託基金</w:t>
            </w:r>
            <w:r w:rsidRPr="00AD3883">
              <w:rPr>
                <w:rFonts w:ascii="標楷體" w:eastAsia="標楷體" w:hAnsi="標楷體" w:cs="Arial" w:hint="eastAsia"/>
                <w:color w:val="0000FF"/>
                <w:szCs w:val="28"/>
                <w:u w:val="single"/>
              </w:rPr>
              <w:t>配售作業流程，並包括下列要點：</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一、啟動之標準與依據。</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二、配售額度之原則、方式及頻率、配售作業規則(例如採抽籤制或依登記預約時序等方式、抽籤時間及地點、抽籤規則等機制及公告中籤名單事宜、登記之開放及截止時間、登記方式及分配規則等)。</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三、受託申購客戶與流動量提供者之申購比例。</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四、配售資訊揭露項目與揭露方式。</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五、受託申購客戶超額認購之處理方式。</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六、結束之標準。</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七、內部人參與ETF配售之利益衝突防範規範。</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八、其他注意事項。</w:t>
            </w:r>
          </w:p>
          <w:p w:rsidR="00B338D1" w:rsidRPr="00AD3883" w:rsidRDefault="00B338D1" w:rsidP="002526D8">
            <w:pPr>
              <w:pStyle w:val="Default"/>
              <w:spacing w:beforeLines="50" w:before="1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客戶申購總組數超過可分配之組數時即須啟動公平配售機制，包括期貨信託事業於特殊情形自行控管額度致發生超額申購之情形。另如擬針對不同</w:t>
            </w:r>
            <w:r w:rsidRPr="00D164AD">
              <w:rPr>
                <w:rFonts w:ascii="標楷體" w:eastAsia="標楷體" w:hAnsi="標楷體" w:cs="Arial" w:hint="eastAsia"/>
                <w:color w:val="0000FF"/>
                <w:szCs w:val="28"/>
                <w:u w:val="single"/>
              </w:rPr>
              <w:t>(例如：</w:t>
            </w:r>
            <w:r w:rsidRPr="00AD3883">
              <w:rPr>
                <w:rFonts w:ascii="標楷體" w:eastAsia="標楷體" w:hAnsi="標楷體" w:cs="Arial" w:hint="eastAsia"/>
                <w:color w:val="0000FF"/>
                <w:szCs w:val="28"/>
                <w:u w:val="single"/>
              </w:rPr>
              <w:t>類型</w:t>
            </w:r>
            <w:r w:rsidRPr="00D164AD">
              <w:rPr>
                <w:rFonts w:ascii="標楷體" w:eastAsia="標楷體" w:hAnsi="標楷體" w:cs="Arial" w:hint="eastAsia"/>
                <w:color w:val="0000FF"/>
                <w:szCs w:val="28"/>
                <w:u w:val="single"/>
              </w:rPr>
              <w:t>)</w:t>
            </w:r>
            <w:r w:rsidRPr="00457A0D">
              <w:rPr>
                <w:rFonts w:ascii="標楷體" w:eastAsia="標楷體" w:hAnsi="標楷體" w:cs="Arial" w:hint="eastAsia"/>
                <w:color w:val="0000FF"/>
                <w:szCs w:val="28"/>
                <w:u w:val="single"/>
              </w:rPr>
              <w:t>指數股票型期貨信託基金</w:t>
            </w:r>
            <w:r w:rsidRPr="00AD3883">
              <w:rPr>
                <w:rFonts w:ascii="標楷體" w:eastAsia="標楷體" w:hAnsi="標楷體" w:cs="Arial" w:hint="eastAsia"/>
                <w:color w:val="0000FF"/>
                <w:szCs w:val="28"/>
                <w:u w:val="single"/>
              </w:rPr>
              <w:t>訂定不同啟動標準</w:t>
            </w:r>
            <w:r w:rsidRPr="00D164AD">
              <w:rPr>
                <w:rFonts w:ascii="標楷體" w:eastAsia="標楷體" w:hAnsi="標楷體" w:cs="Arial" w:hint="eastAsia"/>
                <w:color w:val="0000FF"/>
                <w:szCs w:val="28"/>
                <w:u w:val="single"/>
              </w:rPr>
              <w:t>或配售作業流程</w:t>
            </w:r>
            <w:r w:rsidRPr="00AD3883">
              <w:rPr>
                <w:rFonts w:ascii="標楷體" w:eastAsia="標楷體" w:hAnsi="標楷體" w:cs="Arial" w:hint="eastAsia"/>
                <w:color w:val="0000FF"/>
                <w:szCs w:val="28"/>
                <w:u w:val="single"/>
              </w:rPr>
              <w:t>，亦應明訂於內部控制制度中。</w:t>
            </w:r>
          </w:p>
          <w:p w:rsidR="00B338D1" w:rsidRPr="00AD3883" w:rsidRDefault="00B338D1" w:rsidP="002526D8">
            <w:pPr>
              <w:pStyle w:val="Default"/>
              <w:spacing w:beforeLines="50" w:before="1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受託申購客戶超額認購如採抽籤之配售方式，則應由</w:t>
            </w:r>
            <w:r w:rsidRPr="00AD3883">
              <w:rPr>
                <w:rFonts w:ascii="標楷體" w:eastAsia="標楷體" w:hAnsi="標楷體" w:cs="Arial"/>
                <w:color w:val="0000FF"/>
                <w:szCs w:val="28"/>
                <w:u w:val="single"/>
              </w:rPr>
              <w:t>基金保管機構派員監督，並得邀請基金法律顧問、基金簽證會計師</w:t>
            </w:r>
            <w:r w:rsidRPr="00AD3883">
              <w:rPr>
                <w:rFonts w:ascii="標楷體" w:eastAsia="標楷體" w:hAnsi="標楷體" w:cs="Arial" w:hint="eastAsia"/>
                <w:color w:val="0000FF"/>
                <w:szCs w:val="28"/>
                <w:u w:val="single"/>
              </w:rPr>
              <w:t>或本</w:t>
            </w:r>
            <w:r w:rsidRPr="00AD3883">
              <w:rPr>
                <w:rFonts w:ascii="標楷體" w:eastAsia="標楷體" w:hAnsi="標楷體" w:cs="Arial"/>
                <w:color w:val="0000FF"/>
                <w:szCs w:val="28"/>
                <w:u w:val="single"/>
              </w:rPr>
              <w:t>公會派員監督</w:t>
            </w:r>
            <w:r w:rsidRPr="00AD3883">
              <w:rPr>
                <w:rFonts w:ascii="標楷體" w:eastAsia="標楷體" w:hAnsi="標楷體" w:cs="Arial" w:hint="eastAsia"/>
                <w:color w:val="0000FF"/>
                <w:szCs w:val="28"/>
                <w:u w:val="single"/>
              </w:rPr>
              <w:t>。</w:t>
            </w:r>
          </w:p>
          <w:p w:rsidR="00B338D1" w:rsidRPr="00AD3883" w:rsidRDefault="00B338D1" w:rsidP="002526D8">
            <w:pPr>
              <w:pStyle w:val="Default"/>
              <w:spacing w:beforeLines="50" w:before="1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配售作業流程及相關配售資訊應於每次啟動前</w:t>
            </w:r>
            <w:r>
              <w:rPr>
                <w:rFonts w:ascii="標楷體" w:eastAsia="標楷體" w:hAnsi="標楷體" w:cs="Arial" w:hint="eastAsia"/>
                <w:color w:val="0000FF"/>
                <w:szCs w:val="28"/>
                <w:u w:val="single"/>
              </w:rPr>
              <w:t>於公司</w:t>
            </w:r>
            <w:r w:rsidRPr="00AD3883">
              <w:rPr>
                <w:rFonts w:ascii="標楷體" w:eastAsia="標楷體" w:hAnsi="標楷體" w:cs="Arial" w:hint="eastAsia"/>
                <w:color w:val="0000FF"/>
                <w:szCs w:val="28"/>
                <w:u w:val="single"/>
              </w:rPr>
              <w:t>官網及</w:t>
            </w:r>
            <w:r>
              <w:rPr>
                <w:rFonts w:ascii="標楷體" w:eastAsia="標楷體" w:hAnsi="標楷體" w:cs="Arial" w:hint="eastAsia"/>
                <w:color w:val="0000FF"/>
                <w:szCs w:val="28"/>
                <w:u w:val="single"/>
              </w:rPr>
              <w:t>公開</w:t>
            </w:r>
            <w:r w:rsidRPr="00AD3883">
              <w:rPr>
                <w:rFonts w:ascii="標楷體" w:eastAsia="標楷體" w:hAnsi="標楷體" w:cs="Arial" w:hint="eastAsia"/>
                <w:color w:val="0000FF"/>
                <w:szCs w:val="28"/>
                <w:u w:val="single"/>
              </w:rPr>
              <w:t>資訊觀測站公告，應公告之項目包括：</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一、啟動之依據。</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二、配售作業規則。</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三、受託</w:t>
            </w:r>
            <w:r w:rsidRPr="00E065D2">
              <w:rPr>
                <w:rFonts w:ascii="標楷體" w:eastAsia="標楷體" w:hAnsi="標楷體" w:cs="Arial" w:hint="eastAsia"/>
                <w:color w:val="0000FF"/>
                <w:szCs w:val="28"/>
                <w:u w:val="single"/>
              </w:rPr>
              <w:t>申購客戶</w:t>
            </w:r>
            <w:r w:rsidRPr="00AD3883">
              <w:rPr>
                <w:rFonts w:ascii="標楷體" w:eastAsia="標楷體" w:hAnsi="標楷體" w:cs="Arial" w:hint="eastAsia"/>
                <w:color w:val="0000FF"/>
                <w:szCs w:val="28"/>
                <w:u w:val="single"/>
              </w:rPr>
              <w:t>與流動量提供者之申購額度。</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四、客戶超額認購之處理方式。</w:t>
            </w:r>
          </w:p>
          <w:p w:rsidR="00B338D1" w:rsidRPr="00AD3883" w:rsidRDefault="00B338D1" w:rsidP="002526D8">
            <w:pPr>
              <w:pStyle w:val="Default"/>
              <w:ind w:left="480" w:hangingChars="200" w:hanging="4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五、提醒投資人潛在投資風險等其他注意事項。</w:t>
            </w:r>
          </w:p>
          <w:p w:rsidR="00B338D1" w:rsidRDefault="00B338D1" w:rsidP="002526D8">
            <w:pPr>
              <w:pStyle w:val="Default"/>
              <w:spacing w:beforeLines="50" w:before="180"/>
              <w:jc w:val="both"/>
              <w:rPr>
                <w:rFonts w:ascii="標楷體" w:eastAsia="標楷體" w:hAnsi="標楷體" w:cs="Arial"/>
                <w:color w:val="0000FF"/>
                <w:szCs w:val="28"/>
                <w:u w:val="single"/>
              </w:rPr>
            </w:pPr>
            <w:r w:rsidRPr="00AD3883">
              <w:rPr>
                <w:rFonts w:ascii="標楷體" w:eastAsia="標楷體" w:hAnsi="標楷體" w:cs="Arial" w:hint="eastAsia"/>
                <w:color w:val="0000FF"/>
                <w:szCs w:val="28"/>
                <w:u w:val="single"/>
              </w:rPr>
              <w:t>期貨</w:t>
            </w:r>
            <w:r w:rsidRPr="00D50DE6">
              <w:rPr>
                <w:rFonts w:ascii="標楷體" w:eastAsia="標楷體" w:hAnsi="標楷體" w:cs="Arial" w:hint="eastAsia"/>
                <w:color w:val="0000FF"/>
                <w:szCs w:val="28"/>
                <w:u w:val="single"/>
              </w:rPr>
              <w:t>信託事業應於申購書件內載明內部人定義，由申購客戶確認是否屬</w:t>
            </w:r>
            <w:r w:rsidRPr="00AD3883">
              <w:rPr>
                <w:rFonts w:ascii="標楷體" w:eastAsia="標楷體" w:hAnsi="標楷體" w:cs="Arial" w:hint="eastAsia"/>
                <w:color w:val="0000FF"/>
                <w:szCs w:val="28"/>
                <w:u w:val="single"/>
              </w:rPr>
              <w:t>期貨</w:t>
            </w:r>
            <w:r w:rsidRPr="00D50DE6">
              <w:rPr>
                <w:rFonts w:ascii="標楷體" w:eastAsia="標楷體" w:hAnsi="標楷體" w:cs="Arial" w:hint="eastAsia"/>
                <w:color w:val="0000FF"/>
                <w:szCs w:val="28"/>
                <w:u w:val="single"/>
              </w:rPr>
              <w:t>信託公司之內部人，並依內部控制制度辦理配售作業。</w:t>
            </w:r>
          </w:p>
          <w:p w:rsidR="00B338D1" w:rsidRPr="00C41429" w:rsidRDefault="00B338D1" w:rsidP="002526D8">
            <w:pPr>
              <w:pStyle w:val="Default"/>
              <w:spacing w:beforeLines="50" w:before="180" w:after="80"/>
              <w:jc w:val="both"/>
              <w:rPr>
                <w:rFonts w:ascii="標楷體" w:eastAsia="標楷體" w:hAnsi="標楷體" w:cs="細明體"/>
              </w:rPr>
            </w:pPr>
            <w:r w:rsidRPr="00AD3883">
              <w:rPr>
                <w:rFonts w:ascii="標楷體" w:eastAsia="標楷體" w:hAnsi="標楷體" w:cs="Arial" w:hint="eastAsia"/>
                <w:color w:val="0000FF"/>
                <w:szCs w:val="28"/>
                <w:u w:val="single"/>
              </w:rPr>
              <w:t>期貨信託事業應將辦理配售作業之完整流程紀錄及相關資料保存五年備查。</w:t>
            </w:r>
          </w:p>
        </w:tc>
        <w:tc>
          <w:tcPr>
            <w:tcW w:w="1655" w:type="pct"/>
          </w:tcPr>
          <w:p w:rsidR="00B338D1" w:rsidRPr="00815E43" w:rsidRDefault="00B338D1" w:rsidP="002526D8">
            <w:pPr>
              <w:pStyle w:val="Default"/>
              <w:jc w:val="both"/>
              <w:rPr>
                <w:rFonts w:ascii="標楷體" w:eastAsia="標楷體" w:hAnsi="標楷體" w:cs="Arial"/>
                <w:color w:val="0000FF"/>
                <w:szCs w:val="28"/>
              </w:rPr>
            </w:pPr>
            <w:r w:rsidRPr="00555934">
              <w:rPr>
                <w:rFonts w:ascii="標楷體" w:eastAsia="標楷體" w:hAnsi="標楷體" w:cs="Arial" w:hint="eastAsia"/>
                <w:color w:val="auto"/>
                <w:szCs w:val="28"/>
              </w:rPr>
              <w:t>(新增)</w:t>
            </w:r>
          </w:p>
          <w:p w:rsidR="00B338D1" w:rsidRPr="00C41429" w:rsidRDefault="00B338D1" w:rsidP="002526D8">
            <w:pPr>
              <w:pStyle w:val="Default"/>
              <w:jc w:val="both"/>
              <w:rPr>
                <w:rFonts w:ascii="標楷體" w:eastAsia="標楷體" w:hAnsi="標楷體" w:cs="細明體"/>
              </w:rPr>
            </w:pPr>
          </w:p>
        </w:tc>
        <w:tc>
          <w:tcPr>
            <w:tcW w:w="1643" w:type="pct"/>
            <w:shd w:val="clear" w:color="auto" w:fill="auto"/>
          </w:tcPr>
          <w:p w:rsidR="00B338D1" w:rsidRDefault="00B338D1" w:rsidP="002526D8">
            <w:pPr>
              <w:pStyle w:val="HTML"/>
              <w:tabs>
                <w:tab w:val="clear" w:pos="916"/>
                <w:tab w:val="left" w:pos="500"/>
              </w:tabs>
              <w:ind w:left="480" w:hangingChars="200" w:hanging="480"/>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一、為強化</w:t>
            </w:r>
            <w:r>
              <w:rPr>
                <w:rFonts w:ascii="標楷體" w:eastAsia="標楷體" w:hAnsi="標楷體"/>
                <w:color w:val="000000" w:themeColor="text1"/>
                <w:sz w:val="24"/>
                <w:szCs w:val="24"/>
              </w:rPr>
              <w:t>ETF</w:t>
            </w:r>
            <w:r>
              <w:rPr>
                <w:rFonts w:ascii="標楷體" w:eastAsia="標楷體" w:hAnsi="標楷體" w:hint="eastAsia"/>
                <w:color w:val="000000" w:themeColor="text1"/>
                <w:sz w:val="24"/>
                <w:szCs w:val="24"/>
              </w:rPr>
              <w:t>公平合理配售規範，依主管機關111年2月16日金管證投字第1110380206號函指示原則，增訂本條規範。</w:t>
            </w:r>
          </w:p>
          <w:p w:rsidR="00B338D1" w:rsidRPr="00C20ADC" w:rsidRDefault="00B338D1" w:rsidP="002526D8">
            <w:pPr>
              <w:pStyle w:val="HTML"/>
              <w:tabs>
                <w:tab w:val="clear" w:pos="916"/>
                <w:tab w:val="left" w:pos="500"/>
              </w:tabs>
              <w:ind w:left="480" w:hangingChars="200" w:hanging="480"/>
              <w:jc w:val="both"/>
              <w:rPr>
                <w:rFonts w:ascii="標楷體" w:eastAsia="標楷體" w:hAnsi="標楷體" w:cs="Arial"/>
                <w:sz w:val="24"/>
                <w:szCs w:val="28"/>
              </w:rPr>
            </w:pPr>
            <w:r w:rsidRPr="00B75D6D">
              <w:rPr>
                <w:rFonts w:ascii="標楷體" w:eastAsia="標楷體" w:hAnsi="標楷體" w:hint="eastAsia"/>
                <w:sz w:val="24"/>
              </w:rPr>
              <w:t>二、</w:t>
            </w:r>
            <w:r w:rsidRPr="00C20ADC">
              <w:rPr>
                <w:rFonts w:ascii="標楷體" w:eastAsia="標楷體" w:hAnsi="標楷體" w:cs="Arial" w:hint="eastAsia"/>
                <w:sz w:val="24"/>
                <w:szCs w:val="28"/>
              </w:rPr>
              <w:t>參考</w:t>
            </w:r>
            <w:r>
              <w:rPr>
                <w:rFonts w:ascii="標楷體" w:eastAsia="標楷體" w:hAnsi="標楷體" w:cs="Arial" w:hint="eastAsia"/>
                <w:sz w:val="24"/>
                <w:szCs w:val="28"/>
              </w:rPr>
              <w:t>本公會</w:t>
            </w:r>
            <w:r w:rsidRPr="00C20ADC">
              <w:rPr>
                <w:rFonts w:ascii="標楷體" w:eastAsia="標楷體" w:hAnsi="標楷體" w:cs="Arial" w:hint="eastAsia"/>
                <w:sz w:val="24"/>
                <w:szCs w:val="28"/>
              </w:rPr>
              <w:t>「期貨信託基金受益人會議表決票效力認定及書面表決作業程序辦法」第十二條第一項規定</w:t>
            </w:r>
            <w:r w:rsidRPr="00F81E48">
              <w:rPr>
                <w:rFonts w:ascii="標楷體" w:eastAsia="標楷體" w:hAnsi="標楷體" w:cs="Arial" w:hint="eastAsia"/>
                <w:sz w:val="24"/>
                <w:szCs w:val="28"/>
              </w:rPr>
              <w:t>，明定採抽籤配售方式時，基金保管機構應派員監督，</w:t>
            </w:r>
            <w:r>
              <w:rPr>
                <w:rFonts w:ascii="標楷體" w:eastAsia="標楷體" w:hAnsi="標楷體" w:cs="Arial" w:hint="eastAsia"/>
                <w:sz w:val="24"/>
                <w:szCs w:val="28"/>
              </w:rPr>
              <w:t>俾</w:t>
            </w:r>
            <w:r w:rsidRPr="00C20ADC">
              <w:rPr>
                <w:rFonts w:ascii="標楷體" w:eastAsia="標楷體" w:hAnsi="標楷體" w:cs="Arial" w:hint="eastAsia"/>
                <w:sz w:val="24"/>
                <w:szCs w:val="28"/>
              </w:rPr>
              <w:t>確認抽籤作業流程之公</w:t>
            </w:r>
            <w:r>
              <w:rPr>
                <w:rFonts w:ascii="標楷體" w:eastAsia="標楷體" w:hAnsi="標楷體" w:cs="Arial" w:hint="eastAsia"/>
                <w:sz w:val="24"/>
                <w:szCs w:val="28"/>
              </w:rPr>
              <w:t>正</w:t>
            </w:r>
            <w:r w:rsidRPr="00C20ADC">
              <w:rPr>
                <w:rFonts w:ascii="標楷體" w:eastAsia="標楷體" w:hAnsi="標楷體" w:cs="Arial" w:hint="eastAsia"/>
                <w:sz w:val="24"/>
                <w:szCs w:val="28"/>
              </w:rPr>
              <w:t>性。</w:t>
            </w:r>
          </w:p>
          <w:p w:rsidR="00B338D1" w:rsidRDefault="00B338D1" w:rsidP="002526D8">
            <w:pPr>
              <w:pStyle w:val="Default"/>
              <w:ind w:left="480" w:hangingChars="200" w:hanging="480"/>
              <w:jc w:val="both"/>
              <w:rPr>
                <w:rFonts w:ascii="標楷體" w:eastAsia="標楷體" w:hAnsi="標楷體" w:cs="Arial"/>
                <w:color w:val="auto"/>
                <w:szCs w:val="28"/>
              </w:rPr>
            </w:pPr>
            <w:r w:rsidRPr="00C20ADC">
              <w:rPr>
                <w:rFonts w:ascii="標楷體" w:eastAsia="標楷體" w:hAnsi="標楷體" w:cs="Arial" w:hint="eastAsia"/>
                <w:color w:val="auto"/>
                <w:szCs w:val="28"/>
              </w:rPr>
              <w:t>三、</w:t>
            </w:r>
            <w:r w:rsidRPr="004D79EB">
              <w:rPr>
                <w:rFonts w:ascii="標楷體" w:eastAsia="標楷體" w:hAnsi="標楷體" w:hint="eastAsia"/>
                <w:color w:val="000000" w:themeColor="text1"/>
              </w:rPr>
              <w:t>考量利益衝突之發生主要係因申購人屬</w:t>
            </w:r>
            <w:r w:rsidRPr="00C64058">
              <w:rPr>
                <w:rFonts w:ascii="標楷體" w:eastAsia="標楷體" w:hAnsi="標楷體" w:hint="eastAsia"/>
                <w:color w:val="000000" w:themeColor="text1"/>
              </w:rPr>
              <w:t>期貨</w:t>
            </w:r>
            <w:r w:rsidRPr="004D79EB">
              <w:rPr>
                <w:rFonts w:ascii="標楷體" w:eastAsia="標楷體" w:hAnsi="標楷體" w:hint="eastAsia"/>
                <w:color w:val="000000" w:themeColor="text1"/>
              </w:rPr>
              <w:t>信託事業之內部人，爰規範之。有關內部人之認定方式，由公司於內部控制制度載明，並由公司審核確認內部人參與</w:t>
            </w:r>
            <w:r w:rsidRPr="00457A0D">
              <w:rPr>
                <w:rFonts w:ascii="標楷體" w:eastAsia="標楷體" w:hAnsi="標楷體" w:hint="eastAsia"/>
                <w:color w:val="000000" w:themeColor="text1"/>
              </w:rPr>
              <w:t>指數股票型期貨信託基金</w:t>
            </w:r>
            <w:r w:rsidRPr="004D79EB">
              <w:rPr>
                <w:rFonts w:ascii="標楷體" w:eastAsia="標楷體" w:hAnsi="標楷體" w:hint="eastAsia"/>
                <w:color w:val="000000" w:themeColor="text1"/>
              </w:rPr>
              <w:t>配售是否符合所訂利益衝突防範規範及公平待客原則；客戶確認方式例如可由申購客戶透過「勾選」方式確認。</w:t>
            </w:r>
          </w:p>
          <w:p w:rsidR="00B338D1" w:rsidRPr="000E4E8F" w:rsidRDefault="00B338D1" w:rsidP="002526D8">
            <w:pPr>
              <w:pStyle w:val="Default"/>
              <w:ind w:left="480" w:hangingChars="200" w:hanging="480"/>
              <w:jc w:val="both"/>
              <w:rPr>
                <w:rFonts w:ascii="標楷體" w:eastAsia="標楷體" w:hAnsi="標楷體"/>
              </w:rPr>
            </w:pPr>
            <w:r>
              <w:rPr>
                <w:rFonts w:ascii="標楷體" w:eastAsia="標楷體" w:hAnsi="標楷體" w:cs="Arial" w:hint="eastAsia"/>
                <w:color w:val="auto"/>
                <w:szCs w:val="28"/>
              </w:rPr>
              <w:t>四、</w:t>
            </w:r>
            <w:r w:rsidRPr="00B75D6D">
              <w:rPr>
                <w:rFonts w:ascii="標楷體" w:eastAsia="標楷體" w:hAnsi="標楷體" w:cs="Arial" w:hint="eastAsia"/>
                <w:szCs w:val="28"/>
              </w:rPr>
              <w:t>參考</w:t>
            </w:r>
            <w:r w:rsidRPr="00B75D6D">
              <w:rPr>
                <w:rFonts w:ascii="標楷體" w:eastAsia="標楷體" w:hAnsi="標楷體" w:cs="Arial"/>
                <w:szCs w:val="28"/>
              </w:rPr>
              <w:t>中華民國證券商業同業公會證券商承銷或再行銷售有價證券處理辦法</w:t>
            </w:r>
            <w:r w:rsidRPr="00B75D6D">
              <w:rPr>
                <w:rFonts w:ascii="標楷體" w:eastAsia="標楷體" w:hAnsi="標楷體" w:cs="Arial" w:hint="eastAsia"/>
                <w:szCs w:val="28"/>
              </w:rPr>
              <w:t>第七十二條第四項規定，</w:t>
            </w:r>
            <w:r>
              <w:rPr>
                <w:rFonts w:ascii="標楷體" w:eastAsia="標楷體" w:hAnsi="標楷體" w:cs="Arial" w:hint="eastAsia"/>
                <w:szCs w:val="28"/>
              </w:rPr>
              <w:t>明定</w:t>
            </w:r>
            <w:r w:rsidRPr="000E4E8F">
              <w:rPr>
                <w:rFonts w:ascii="標楷體" w:eastAsia="標楷體" w:hAnsi="標楷體" w:cs="Arial" w:hint="eastAsia"/>
                <w:szCs w:val="28"/>
              </w:rPr>
              <w:t>配售作業之</w:t>
            </w:r>
            <w:r w:rsidRPr="00610AF7">
              <w:rPr>
                <w:rFonts w:ascii="標楷體" w:eastAsia="標楷體" w:hAnsi="標楷體" w:cs="Arial" w:hint="eastAsia"/>
                <w:szCs w:val="28"/>
              </w:rPr>
              <w:t>完整流程紀錄及相關資料</w:t>
            </w:r>
            <w:r>
              <w:rPr>
                <w:rFonts w:ascii="標楷體" w:eastAsia="標楷體" w:hAnsi="標楷體" w:cs="Arial" w:hint="eastAsia"/>
                <w:szCs w:val="28"/>
              </w:rPr>
              <w:t>應保</w:t>
            </w:r>
            <w:r w:rsidRPr="000E4E8F">
              <w:rPr>
                <w:rFonts w:ascii="標楷體" w:eastAsia="標楷體" w:hAnsi="標楷體" w:cs="Arial" w:hint="eastAsia"/>
                <w:szCs w:val="28"/>
              </w:rPr>
              <w:t>存</w:t>
            </w:r>
            <w:r>
              <w:rPr>
                <w:rFonts w:ascii="標楷體" w:eastAsia="標楷體" w:hAnsi="標楷體" w:cs="Arial" w:hint="eastAsia"/>
                <w:szCs w:val="28"/>
              </w:rPr>
              <w:t>五</w:t>
            </w:r>
            <w:r w:rsidRPr="000E4E8F">
              <w:rPr>
                <w:rFonts w:ascii="標楷體" w:eastAsia="標楷體" w:hAnsi="標楷體" w:cs="Arial" w:hint="eastAsia"/>
                <w:szCs w:val="28"/>
              </w:rPr>
              <w:t>年。</w:t>
            </w:r>
          </w:p>
        </w:tc>
      </w:tr>
    </w:tbl>
    <w:p w:rsidR="00D36304" w:rsidRPr="00B338D1" w:rsidRDefault="00D36304" w:rsidP="00B338D1">
      <w:pPr>
        <w:spacing w:line="480" w:lineRule="exact"/>
      </w:pPr>
    </w:p>
    <w:sectPr w:rsidR="00D36304" w:rsidRPr="00B338D1" w:rsidSect="00B338D1">
      <w:footerReference w:type="default" r:id="rId10"/>
      <w:pgSz w:w="11906" w:h="16838" w:code="9"/>
      <w:pgMar w:top="1418" w:right="1134" w:bottom="1134" w:left="1134"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5A9" w:rsidRDefault="00A845A9" w:rsidP="00B52968">
      <w:r>
        <w:separator/>
      </w:r>
    </w:p>
  </w:endnote>
  <w:endnote w:type="continuationSeparator" w:id="0">
    <w:p w:rsidR="00A845A9" w:rsidRDefault="00A845A9" w:rsidP="00B5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鐀.">
    <w:altName w:val="標楷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68" w:rsidRDefault="00B5296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52968" w:rsidRDefault="00B52968">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968" w:rsidRDefault="00B5296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A9">
      <w:rPr>
        <w:rStyle w:val="a7"/>
        <w:noProof/>
      </w:rPr>
      <w:t>1</w:t>
    </w:r>
    <w:r>
      <w:rPr>
        <w:rStyle w:val="a7"/>
      </w:rPr>
      <w:fldChar w:fldCharType="end"/>
    </w:r>
  </w:p>
  <w:p w:rsidR="00B52968" w:rsidRDefault="00B52968" w:rsidP="001F5ADD">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097346"/>
      <w:docPartObj>
        <w:docPartGallery w:val="Page Numbers (Bottom of Page)"/>
        <w:docPartUnique/>
      </w:docPartObj>
    </w:sdtPr>
    <w:sdtEndPr/>
    <w:sdtContent>
      <w:p w:rsidR="00451F0C" w:rsidRDefault="002335FA" w:rsidP="00EA0255">
        <w:pPr>
          <w:pStyle w:val="a5"/>
          <w:jc w:val="center"/>
        </w:pPr>
        <w:r>
          <w:fldChar w:fldCharType="begin"/>
        </w:r>
        <w:r>
          <w:instrText xml:space="preserve"> PAGE   \* MERGEFORMAT </w:instrText>
        </w:r>
        <w:r>
          <w:fldChar w:fldCharType="separate"/>
        </w:r>
        <w:r w:rsidR="00AE5AF2" w:rsidRPr="00AE5AF2">
          <w:rPr>
            <w:noProof/>
            <w:lang w:val="zh-TW"/>
          </w:rPr>
          <w:t>16</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5A9" w:rsidRDefault="00A845A9" w:rsidP="00B52968">
      <w:r>
        <w:separator/>
      </w:r>
    </w:p>
  </w:footnote>
  <w:footnote w:type="continuationSeparator" w:id="0">
    <w:p w:rsidR="00A845A9" w:rsidRDefault="00A845A9" w:rsidP="00B529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80E36"/>
    <w:multiLevelType w:val="hybridMultilevel"/>
    <w:tmpl w:val="189A2EC8"/>
    <w:lvl w:ilvl="0" w:tplc="08EE1546">
      <w:start w:val="1"/>
      <w:numFmt w:val="ideographDigital"/>
      <w:lvlText w:val="第%1條"/>
      <w:lvlJc w:val="left"/>
      <w:pPr>
        <w:tabs>
          <w:tab w:val="num" w:pos="1905"/>
        </w:tabs>
        <w:ind w:left="1905" w:hanging="825"/>
      </w:pPr>
      <w:rPr>
        <w:rFonts w:ascii="標楷體" w:eastAsia="標楷體" w:hAnsi="標楷體" w:hint="default"/>
        <w:color w:val="000000"/>
        <w:sz w:val="28"/>
        <w:szCs w:val="28"/>
      </w:rPr>
    </w:lvl>
    <w:lvl w:ilvl="1" w:tplc="04090019" w:tentative="1">
      <w:start w:val="1"/>
      <w:numFmt w:val="ideographTraditional"/>
      <w:lvlText w:val="%2、"/>
      <w:lvlJc w:val="left"/>
      <w:pPr>
        <w:tabs>
          <w:tab w:val="num" w:pos="808"/>
        </w:tabs>
        <w:ind w:left="808" w:hanging="480"/>
      </w:pPr>
    </w:lvl>
    <w:lvl w:ilvl="2" w:tplc="0409001B" w:tentative="1">
      <w:start w:val="1"/>
      <w:numFmt w:val="lowerRoman"/>
      <w:lvlText w:val="%3."/>
      <w:lvlJc w:val="right"/>
      <w:pPr>
        <w:tabs>
          <w:tab w:val="num" w:pos="1288"/>
        </w:tabs>
        <w:ind w:left="1288" w:hanging="480"/>
      </w:pPr>
    </w:lvl>
    <w:lvl w:ilvl="3" w:tplc="0409000F" w:tentative="1">
      <w:start w:val="1"/>
      <w:numFmt w:val="decimal"/>
      <w:lvlText w:val="%4."/>
      <w:lvlJc w:val="left"/>
      <w:pPr>
        <w:tabs>
          <w:tab w:val="num" w:pos="1768"/>
        </w:tabs>
        <w:ind w:left="1768" w:hanging="480"/>
      </w:pPr>
    </w:lvl>
    <w:lvl w:ilvl="4" w:tplc="04090019" w:tentative="1">
      <w:start w:val="1"/>
      <w:numFmt w:val="ideographTraditional"/>
      <w:lvlText w:val="%5、"/>
      <w:lvlJc w:val="left"/>
      <w:pPr>
        <w:tabs>
          <w:tab w:val="num" w:pos="2248"/>
        </w:tabs>
        <w:ind w:left="2248" w:hanging="480"/>
      </w:pPr>
    </w:lvl>
    <w:lvl w:ilvl="5" w:tplc="0409001B" w:tentative="1">
      <w:start w:val="1"/>
      <w:numFmt w:val="lowerRoman"/>
      <w:lvlText w:val="%6."/>
      <w:lvlJc w:val="right"/>
      <w:pPr>
        <w:tabs>
          <w:tab w:val="num" w:pos="2728"/>
        </w:tabs>
        <w:ind w:left="2728" w:hanging="480"/>
      </w:pPr>
    </w:lvl>
    <w:lvl w:ilvl="6" w:tplc="0409000F" w:tentative="1">
      <w:start w:val="1"/>
      <w:numFmt w:val="decimal"/>
      <w:lvlText w:val="%7."/>
      <w:lvlJc w:val="left"/>
      <w:pPr>
        <w:tabs>
          <w:tab w:val="num" w:pos="3208"/>
        </w:tabs>
        <w:ind w:left="3208" w:hanging="480"/>
      </w:pPr>
    </w:lvl>
    <w:lvl w:ilvl="7" w:tplc="04090019" w:tentative="1">
      <w:start w:val="1"/>
      <w:numFmt w:val="ideographTraditional"/>
      <w:lvlText w:val="%8、"/>
      <w:lvlJc w:val="left"/>
      <w:pPr>
        <w:tabs>
          <w:tab w:val="num" w:pos="3688"/>
        </w:tabs>
        <w:ind w:left="3688" w:hanging="480"/>
      </w:pPr>
    </w:lvl>
    <w:lvl w:ilvl="8" w:tplc="0409001B" w:tentative="1">
      <w:start w:val="1"/>
      <w:numFmt w:val="lowerRoman"/>
      <w:lvlText w:val="%9."/>
      <w:lvlJc w:val="right"/>
      <w:pPr>
        <w:tabs>
          <w:tab w:val="num" w:pos="4168"/>
        </w:tabs>
        <w:ind w:left="4168" w:hanging="480"/>
      </w:pPr>
    </w:lvl>
  </w:abstractNum>
  <w:abstractNum w:abstractNumId="1" w15:restartNumberingAfterBreak="0">
    <w:nsid w:val="628E25CC"/>
    <w:multiLevelType w:val="hybridMultilevel"/>
    <w:tmpl w:val="44061586"/>
    <w:lvl w:ilvl="0" w:tplc="C5AE5758">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692E6818"/>
    <w:multiLevelType w:val="singleLevel"/>
    <w:tmpl w:val="534E38F4"/>
    <w:lvl w:ilvl="0">
      <w:start w:val="1"/>
      <w:numFmt w:val="taiwaneseCountingThousand"/>
      <w:lvlText w:val="%1、"/>
      <w:lvlJc w:val="left"/>
      <w:pPr>
        <w:tabs>
          <w:tab w:val="num" w:pos="480"/>
        </w:tabs>
        <w:ind w:left="480" w:hanging="48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487"/>
    <w:rsid w:val="00014487"/>
    <w:rsid w:val="00020F19"/>
    <w:rsid w:val="00021234"/>
    <w:rsid w:val="0002734A"/>
    <w:rsid w:val="0002776D"/>
    <w:rsid w:val="00046DF4"/>
    <w:rsid w:val="00051EF0"/>
    <w:rsid w:val="00072D05"/>
    <w:rsid w:val="00076412"/>
    <w:rsid w:val="00076F20"/>
    <w:rsid w:val="00081219"/>
    <w:rsid w:val="000B247F"/>
    <w:rsid w:val="000C05C4"/>
    <w:rsid w:val="000C33EA"/>
    <w:rsid w:val="000D401F"/>
    <w:rsid w:val="000E0EDF"/>
    <w:rsid w:val="000E2E58"/>
    <w:rsid w:val="000F1DC9"/>
    <w:rsid w:val="0010360D"/>
    <w:rsid w:val="00103BB8"/>
    <w:rsid w:val="001060BC"/>
    <w:rsid w:val="001206C5"/>
    <w:rsid w:val="001350F8"/>
    <w:rsid w:val="00142FC2"/>
    <w:rsid w:val="00144CE0"/>
    <w:rsid w:val="0014663B"/>
    <w:rsid w:val="001512E2"/>
    <w:rsid w:val="00194ED3"/>
    <w:rsid w:val="001964AF"/>
    <w:rsid w:val="001A7CE6"/>
    <w:rsid w:val="001B3425"/>
    <w:rsid w:val="001C0C8A"/>
    <w:rsid w:val="001D0E7A"/>
    <w:rsid w:val="001F5ADD"/>
    <w:rsid w:val="001F6B63"/>
    <w:rsid w:val="00203976"/>
    <w:rsid w:val="00207AD2"/>
    <w:rsid w:val="002169B4"/>
    <w:rsid w:val="00227D79"/>
    <w:rsid w:val="002335FA"/>
    <w:rsid w:val="00250E5A"/>
    <w:rsid w:val="00267BF0"/>
    <w:rsid w:val="002731A7"/>
    <w:rsid w:val="0027368A"/>
    <w:rsid w:val="00275EA8"/>
    <w:rsid w:val="002775A4"/>
    <w:rsid w:val="00281B08"/>
    <w:rsid w:val="00284634"/>
    <w:rsid w:val="00292C1C"/>
    <w:rsid w:val="002948D4"/>
    <w:rsid w:val="002A4154"/>
    <w:rsid w:val="002B1B16"/>
    <w:rsid w:val="002C608B"/>
    <w:rsid w:val="002F5649"/>
    <w:rsid w:val="00323B4B"/>
    <w:rsid w:val="003411A2"/>
    <w:rsid w:val="003476EB"/>
    <w:rsid w:val="0036170F"/>
    <w:rsid w:val="003734BC"/>
    <w:rsid w:val="003827DF"/>
    <w:rsid w:val="003A1D8D"/>
    <w:rsid w:val="003A35F8"/>
    <w:rsid w:val="003B1BCD"/>
    <w:rsid w:val="003C1EA6"/>
    <w:rsid w:val="003D254E"/>
    <w:rsid w:val="003D438C"/>
    <w:rsid w:val="003E387D"/>
    <w:rsid w:val="003E5421"/>
    <w:rsid w:val="003F0F7E"/>
    <w:rsid w:val="00400D47"/>
    <w:rsid w:val="0040191E"/>
    <w:rsid w:val="0040396A"/>
    <w:rsid w:val="0040600F"/>
    <w:rsid w:val="00410C48"/>
    <w:rsid w:val="00414F3B"/>
    <w:rsid w:val="00420130"/>
    <w:rsid w:val="00420988"/>
    <w:rsid w:val="00475058"/>
    <w:rsid w:val="00487E32"/>
    <w:rsid w:val="00493743"/>
    <w:rsid w:val="0049382B"/>
    <w:rsid w:val="00494879"/>
    <w:rsid w:val="004A03DE"/>
    <w:rsid w:val="004A22AA"/>
    <w:rsid w:val="004B15BB"/>
    <w:rsid w:val="004B5E27"/>
    <w:rsid w:val="004C77E1"/>
    <w:rsid w:val="004D240F"/>
    <w:rsid w:val="004F762C"/>
    <w:rsid w:val="0050171C"/>
    <w:rsid w:val="005233A0"/>
    <w:rsid w:val="00526877"/>
    <w:rsid w:val="00531139"/>
    <w:rsid w:val="0053570B"/>
    <w:rsid w:val="00543280"/>
    <w:rsid w:val="005741A3"/>
    <w:rsid w:val="00574F25"/>
    <w:rsid w:val="00577380"/>
    <w:rsid w:val="0058307B"/>
    <w:rsid w:val="00590B87"/>
    <w:rsid w:val="005925B3"/>
    <w:rsid w:val="00595B00"/>
    <w:rsid w:val="005B55EB"/>
    <w:rsid w:val="005C7B4E"/>
    <w:rsid w:val="005D76EF"/>
    <w:rsid w:val="005F0258"/>
    <w:rsid w:val="005F057F"/>
    <w:rsid w:val="00622896"/>
    <w:rsid w:val="0062338A"/>
    <w:rsid w:val="00637485"/>
    <w:rsid w:val="0064710C"/>
    <w:rsid w:val="006501CB"/>
    <w:rsid w:val="006578BE"/>
    <w:rsid w:val="00672F93"/>
    <w:rsid w:val="00681E2E"/>
    <w:rsid w:val="006872B0"/>
    <w:rsid w:val="0068790A"/>
    <w:rsid w:val="006960EA"/>
    <w:rsid w:val="006A7D1C"/>
    <w:rsid w:val="006B21BA"/>
    <w:rsid w:val="006B3F9D"/>
    <w:rsid w:val="006C4EA3"/>
    <w:rsid w:val="006C6841"/>
    <w:rsid w:val="006D5068"/>
    <w:rsid w:val="006E67BD"/>
    <w:rsid w:val="006F0F5C"/>
    <w:rsid w:val="006F225B"/>
    <w:rsid w:val="00735DA7"/>
    <w:rsid w:val="00735F04"/>
    <w:rsid w:val="00743413"/>
    <w:rsid w:val="00744A95"/>
    <w:rsid w:val="00746DB9"/>
    <w:rsid w:val="007475E3"/>
    <w:rsid w:val="00772A06"/>
    <w:rsid w:val="00795814"/>
    <w:rsid w:val="007A2260"/>
    <w:rsid w:val="007A3325"/>
    <w:rsid w:val="007C0E60"/>
    <w:rsid w:val="007D17C8"/>
    <w:rsid w:val="007E37C1"/>
    <w:rsid w:val="0080133C"/>
    <w:rsid w:val="00807FF3"/>
    <w:rsid w:val="008219A7"/>
    <w:rsid w:val="00824774"/>
    <w:rsid w:val="00826AEE"/>
    <w:rsid w:val="00841AF5"/>
    <w:rsid w:val="00845B35"/>
    <w:rsid w:val="00857A87"/>
    <w:rsid w:val="00872587"/>
    <w:rsid w:val="0087419F"/>
    <w:rsid w:val="00876450"/>
    <w:rsid w:val="00890298"/>
    <w:rsid w:val="008B1BE9"/>
    <w:rsid w:val="008B59B8"/>
    <w:rsid w:val="008C14EE"/>
    <w:rsid w:val="008C2AE0"/>
    <w:rsid w:val="008E0764"/>
    <w:rsid w:val="008E2FC2"/>
    <w:rsid w:val="008E558B"/>
    <w:rsid w:val="008E6F55"/>
    <w:rsid w:val="008F13D2"/>
    <w:rsid w:val="008F41C3"/>
    <w:rsid w:val="0090449C"/>
    <w:rsid w:val="00927ED0"/>
    <w:rsid w:val="00947398"/>
    <w:rsid w:val="00950DE8"/>
    <w:rsid w:val="009540FB"/>
    <w:rsid w:val="00957172"/>
    <w:rsid w:val="0097178E"/>
    <w:rsid w:val="00971AD0"/>
    <w:rsid w:val="0097570B"/>
    <w:rsid w:val="0098354A"/>
    <w:rsid w:val="009916F5"/>
    <w:rsid w:val="00992B54"/>
    <w:rsid w:val="009A6AEE"/>
    <w:rsid w:val="009C4281"/>
    <w:rsid w:val="009C5BB3"/>
    <w:rsid w:val="009F0803"/>
    <w:rsid w:val="009F23CC"/>
    <w:rsid w:val="00A259F6"/>
    <w:rsid w:val="00A41D47"/>
    <w:rsid w:val="00A4314A"/>
    <w:rsid w:val="00A45EBF"/>
    <w:rsid w:val="00A6138B"/>
    <w:rsid w:val="00A61D9A"/>
    <w:rsid w:val="00A705FA"/>
    <w:rsid w:val="00A73FAF"/>
    <w:rsid w:val="00A77B22"/>
    <w:rsid w:val="00A82A3D"/>
    <w:rsid w:val="00A82F00"/>
    <w:rsid w:val="00A845A9"/>
    <w:rsid w:val="00A9410B"/>
    <w:rsid w:val="00AA3044"/>
    <w:rsid w:val="00AA4A52"/>
    <w:rsid w:val="00AA7B86"/>
    <w:rsid w:val="00AB3471"/>
    <w:rsid w:val="00AB462D"/>
    <w:rsid w:val="00AC4BC7"/>
    <w:rsid w:val="00AC57FF"/>
    <w:rsid w:val="00AE5AF2"/>
    <w:rsid w:val="00AF26D3"/>
    <w:rsid w:val="00B14455"/>
    <w:rsid w:val="00B338D1"/>
    <w:rsid w:val="00B41CA5"/>
    <w:rsid w:val="00B52968"/>
    <w:rsid w:val="00B66849"/>
    <w:rsid w:val="00B76027"/>
    <w:rsid w:val="00B838F3"/>
    <w:rsid w:val="00B83F3B"/>
    <w:rsid w:val="00B85874"/>
    <w:rsid w:val="00B8605C"/>
    <w:rsid w:val="00BC0339"/>
    <w:rsid w:val="00BC18EC"/>
    <w:rsid w:val="00BC2851"/>
    <w:rsid w:val="00BD5BAE"/>
    <w:rsid w:val="00BE4382"/>
    <w:rsid w:val="00BF2EF7"/>
    <w:rsid w:val="00BF34E5"/>
    <w:rsid w:val="00C25075"/>
    <w:rsid w:val="00C27677"/>
    <w:rsid w:val="00C304CE"/>
    <w:rsid w:val="00C41429"/>
    <w:rsid w:val="00C46F63"/>
    <w:rsid w:val="00C5742B"/>
    <w:rsid w:val="00C73273"/>
    <w:rsid w:val="00C74F56"/>
    <w:rsid w:val="00C760EE"/>
    <w:rsid w:val="00C80CBE"/>
    <w:rsid w:val="00C84037"/>
    <w:rsid w:val="00C93090"/>
    <w:rsid w:val="00C93184"/>
    <w:rsid w:val="00C95D28"/>
    <w:rsid w:val="00CB14C4"/>
    <w:rsid w:val="00CE1A81"/>
    <w:rsid w:val="00CE1C7C"/>
    <w:rsid w:val="00CF2B7F"/>
    <w:rsid w:val="00D04C57"/>
    <w:rsid w:val="00D079A2"/>
    <w:rsid w:val="00D20F33"/>
    <w:rsid w:val="00D3074D"/>
    <w:rsid w:val="00D36304"/>
    <w:rsid w:val="00D4470B"/>
    <w:rsid w:val="00D45F1B"/>
    <w:rsid w:val="00D51F7B"/>
    <w:rsid w:val="00D640A7"/>
    <w:rsid w:val="00D67BA2"/>
    <w:rsid w:val="00D95B50"/>
    <w:rsid w:val="00DA4158"/>
    <w:rsid w:val="00DA6352"/>
    <w:rsid w:val="00DE1C7B"/>
    <w:rsid w:val="00DE5D86"/>
    <w:rsid w:val="00DF4A83"/>
    <w:rsid w:val="00DF6CF1"/>
    <w:rsid w:val="00E06F01"/>
    <w:rsid w:val="00E12697"/>
    <w:rsid w:val="00E25215"/>
    <w:rsid w:val="00E370B0"/>
    <w:rsid w:val="00E5599C"/>
    <w:rsid w:val="00E63D6A"/>
    <w:rsid w:val="00E6517D"/>
    <w:rsid w:val="00E67F15"/>
    <w:rsid w:val="00E7785E"/>
    <w:rsid w:val="00E80C9B"/>
    <w:rsid w:val="00E8152F"/>
    <w:rsid w:val="00E81CF8"/>
    <w:rsid w:val="00E82F23"/>
    <w:rsid w:val="00E84B39"/>
    <w:rsid w:val="00E85798"/>
    <w:rsid w:val="00E940A1"/>
    <w:rsid w:val="00E95C88"/>
    <w:rsid w:val="00EA37F2"/>
    <w:rsid w:val="00EA3877"/>
    <w:rsid w:val="00EC48A1"/>
    <w:rsid w:val="00EC4E35"/>
    <w:rsid w:val="00EC4EAA"/>
    <w:rsid w:val="00ED1091"/>
    <w:rsid w:val="00ED4892"/>
    <w:rsid w:val="00ED68A3"/>
    <w:rsid w:val="00ED6AE9"/>
    <w:rsid w:val="00EF1958"/>
    <w:rsid w:val="00EF57E3"/>
    <w:rsid w:val="00EF5A6F"/>
    <w:rsid w:val="00F05B3E"/>
    <w:rsid w:val="00F11638"/>
    <w:rsid w:val="00F13236"/>
    <w:rsid w:val="00F22812"/>
    <w:rsid w:val="00F232FE"/>
    <w:rsid w:val="00F26963"/>
    <w:rsid w:val="00F33510"/>
    <w:rsid w:val="00F412B4"/>
    <w:rsid w:val="00F4185A"/>
    <w:rsid w:val="00F46C17"/>
    <w:rsid w:val="00F52ABB"/>
    <w:rsid w:val="00F57F92"/>
    <w:rsid w:val="00F60A4B"/>
    <w:rsid w:val="00F63986"/>
    <w:rsid w:val="00F63AE9"/>
    <w:rsid w:val="00F644B9"/>
    <w:rsid w:val="00F647E3"/>
    <w:rsid w:val="00F70B7B"/>
    <w:rsid w:val="00F81C00"/>
    <w:rsid w:val="00FA0738"/>
    <w:rsid w:val="00FB179A"/>
    <w:rsid w:val="00FC23FA"/>
    <w:rsid w:val="00FF00B8"/>
    <w:rsid w:val="00FF4ABF"/>
    <w:rsid w:val="00FF65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C096BC-E362-4E5B-BE04-FE979BB3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5ADD"/>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2968"/>
    <w:pPr>
      <w:tabs>
        <w:tab w:val="center" w:pos="4153"/>
        <w:tab w:val="right" w:pos="8306"/>
      </w:tabs>
      <w:snapToGrid w:val="0"/>
    </w:pPr>
    <w:rPr>
      <w:sz w:val="20"/>
      <w:szCs w:val="20"/>
    </w:rPr>
  </w:style>
  <w:style w:type="character" w:customStyle="1" w:styleId="a4">
    <w:name w:val="頁首 字元"/>
    <w:basedOn w:val="a0"/>
    <w:link w:val="a3"/>
    <w:uiPriority w:val="99"/>
    <w:rsid w:val="00B52968"/>
    <w:rPr>
      <w:sz w:val="20"/>
      <w:szCs w:val="20"/>
    </w:rPr>
  </w:style>
  <w:style w:type="paragraph" w:styleId="a5">
    <w:name w:val="footer"/>
    <w:basedOn w:val="a"/>
    <w:link w:val="a6"/>
    <w:uiPriority w:val="99"/>
    <w:unhideWhenUsed/>
    <w:rsid w:val="00B52968"/>
    <w:pPr>
      <w:tabs>
        <w:tab w:val="center" w:pos="4153"/>
        <w:tab w:val="right" w:pos="8306"/>
      </w:tabs>
      <w:snapToGrid w:val="0"/>
    </w:pPr>
    <w:rPr>
      <w:sz w:val="20"/>
      <w:szCs w:val="20"/>
    </w:rPr>
  </w:style>
  <w:style w:type="character" w:customStyle="1" w:styleId="a6">
    <w:name w:val="頁尾 字元"/>
    <w:basedOn w:val="a0"/>
    <w:link w:val="a5"/>
    <w:uiPriority w:val="99"/>
    <w:rsid w:val="00B52968"/>
    <w:rPr>
      <w:sz w:val="20"/>
      <w:szCs w:val="20"/>
    </w:rPr>
  </w:style>
  <w:style w:type="character" w:styleId="a7">
    <w:name w:val="page number"/>
    <w:basedOn w:val="a0"/>
    <w:rsid w:val="00B52968"/>
  </w:style>
  <w:style w:type="paragraph" w:customStyle="1" w:styleId="Layout">
    <w:name w:val="Layout"/>
    <w:basedOn w:val="a"/>
    <w:rsid w:val="00B52968"/>
    <w:pPr>
      <w:widowControl/>
      <w:overflowPunct w:val="0"/>
      <w:autoSpaceDE w:val="0"/>
      <w:autoSpaceDN w:val="0"/>
      <w:adjustRightInd w:val="0"/>
      <w:textAlignment w:val="baseline"/>
    </w:pPr>
    <w:rPr>
      <w:rFonts w:ascii="Arial" w:hAnsi="Arial"/>
      <w:kern w:val="0"/>
      <w:szCs w:val="20"/>
    </w:rPr>
  </w:style>
  <w:style w:type="paragraph" w:styleId="a8">
    <w:name w:val="Body Text Indent"/>
    <w:basedOn w:val="a"/>
    <w:link w:val="a9"/>
    <w:unhideWhenUsed/>
    <w:rsid w:val="00B52968"/>
    <w:pPr>
      <w:spacing w:after="120"/>
      <w:ind w:leftChars="200" w:left="480"/>
    </w:pPr>
  </w:style>
  <w:style w:type="character" w:customStyle="1" w:styleId="a9">
    <w:name w:val="本文縮排 字元"/>
    <w:basedOn w:val="a0"/>
    <w:link w:val="a8"/>
    <w:rsid w:val="00B52968"/>
    <w:rPr>
      <w:rFonts w:ascii="Calibri" w:eastAsia="新細明體" w:hAnsi="Calibri" w:cs="Times New Roman"/>
    </w:rPr>
  </w:style>
  <w:style w:type="paragraph" w:customStyle="1" w:styleId="Default">
    <w:name w:val="Default"/>
    <w:rsid w:val="00C41429"/>
    <w:pPr>
      <w:widowControl w:val="0"/>
      <w:autoSpaceDE w:val="0"/>
      <w:autoSpaceDN w:val="0"/>
      <w:adjustRightInd w:val="0"/>
    </w:pPr>
    <w:rPr>
      <w:rFonts w:ascii="標楷體..鐀." w:eastAsia="標楷體..鐀." w:hAnsi="Calibri" w:cs="標楷體..鐀."/>
      <w:color w:val="000000"/>
      <w:kern w:val="0"/>
      <w:szCs w:val="24"/>
    </w:rPr>
  </w:style>
  <w:style w:type="paragraph" w:styleId="HTML">
    <w:name w:val="HTML Preformatted"/>
    <w:basedOn w:val="a"/>
    <w:link w:val="HTML0"/>
    <w:uiPriority w:val="99"/>
    <w:rsid w:val="00B33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uiPriority w:val="99"/>
    <w:rsid w:val="00B338D1"/>
    <w:rPr>
      <w:rFonts w:ascii="細明體" w:eastAsia="細明體" w:hAnsi="細明體" w:cs="Courier New"/>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02088-CC6E-4B60-B075-CB98BE738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16</Pages>
  <Words>1837</Words>
  <Characters>10474</Characters>
  <Application>Microsoft Office Word</Application>
  <DocSecurity>0</DocSecurity>
  <Lines>87</Lines>
  <Paragraphs>24</Paragraphs>
  <ScaleCrop>false</ScaleCrop>
  <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25</cp:revision>
  <dcterms:created xsi:type="dcterms:W3CDTF">2019-04-12T08:36:00Z</dcterms:created>
  <dcterms:modified xsi:type="dcterms:W3CDTF">2022-08-22T08:07:00Z</dcterms:modified>
</cp:coreProperties>
</file>