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33" w:rsidRPr="001A08B3" w:rsidRDefault="00810E43" w:rsidP="00EC09DE">
      <w:pPr>
        <w:spacing w:after="60" w:line="400" w:lineRule="exact"/>
        <w:ind w:firstLine="0"/>
        <w:jc w:val="both"/>
        <w:rPr>
          <w:rFonts w:ascii="標楷體" w:eastAsia="標楷體" w:hAnsi="標楷體"/>
          <w:b/>
          <w:bCs/>
          <w:color w:val="000000"/>
          <w:szCs w:val="32"/>
        </w:rPr>
      </w:pPr>
      <w:r>
        <w:rPr>
          <w:rFonts w:ascii="標楷體" w:eastAsia="標楷體" w:hAnsi="標楷體" w:hint="eastAsia"/>
          <w:b/>
          <w:bCs/>
          <w:sz w:val="28"/>
          <w:szCs w:val="32"/>
        </w:rPr>
        <w:t>一</w:t>
      </w:r>
      <w:r w:rsidR="00E45333" w:rsidRPr="009F716C">
        <w:rPr>
          <w:rFonts w:ascii="標楷體" w:eastAsia="標楷體" w:hAnsi="標楷體" w:hint="eastAsia"/>
          <w:b/>
          <w:bCs/>
          <w:sz w:val="28"/>
          <w:szCs w:val="32"/>
        </w:rPr>
        <w:t>、期貨信託事業內部稽核制度實施細則</w:t>
      </w:r>
      <w:r w:rsidR="00E45333" w:rsidRPr="009F716C">
        <w:rPr>
          <w:rFonts w:ascii="標楷體" w:eastAsia="標楷體" w:hAnsi="標楷體" w:hint="eastAsia"/>
          <w:b/>
          <w:bCs/>
          <w:color w:val="000000"/>
          <w:sz w:val="28"/>
          <w:szCs w:val="32"/>
        </w:rPr>
        <w:t>修正對照表</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4738"/>
        <w:gridCol w:w="4820"/>
        <w:gridCol w:w="2862"/>
      </w:tblGrid>
      <w:tr w:rsidR="00E45333" w:rsidRPr="001A08B3" w:rsidTr="00640578">
        <w:trPr>
          <w:tblHeader/>
        </w:trPr>
        <w:tc>
          <w:tcPr>
            <w:tcW w:w="1260" w:type="dxa"/>
            <w:vAlign w:val="center"/>
          </w:tcPr>
          <w:p w:rsidR="00E45333" w:rsidRPr="001A08B3" w:rsidRDefault="00E45333" w:rsidP="00662043">
            <w:pPr>
              <w:widowControl w:val="0"/>
              <w:spacing w:line="400" w:lineRule="exact"/>
              <w:jc w:val="center"/>
              <w:rPr>
                <w:rFonts w:ascii="標楷體" w:eastAsia="標楷體" w:hAnsi="標楷體"/>
                <w:bCs/>
                <w:szCs w:val="28"/>
              </w:rPr>
            </w:pPr>
            <w:r w:rsidRPr="001A08B3">
              <w:rPr>
                <w:rFonts w:ascii="標楷體" w:eastAsia="標楷體" w:hAnsi="標楷體"/>
                <w:bCs/>
                <w:szCs w:val="28"/>
              </w:rPr>
              <w:t>編號</w:t>
            </w:r>
          </w:p>
        </w:tc>
        <w:tc>
          <w:tcPr>
            <w:tcW w:w="1440" w:type="dxa"/>
            <w:vAlign w:val="center"/>
          </w:tcPr>
          <w:p w:rsidR="00E45333" w:rsidRPr="001A08B3" w:rsidRDefault="00E45333" w:rsidP="00662043">
            <w:pPr>
              <w:widowControl w:val="0"/>
              <w:spacing w:line="400" w:lineRule="exact"/>
              <w:jc w:val="center"/>
              <w:rPr>
                <w:rFonts w:ascii="標楷體" w:eastAsia="標楷體" w:hAnsi="標楷體"/>
                <w:bCs/>
                <w:szCs w:val="28"/>
              </w:rPr>
            </w:pPr>
            <w:r w:rsidRPr="001A08B3">
              <w:rPr>
                <w:rFonts w:ascii="標楷體" w:eastAsia="標楷體" w:hAnsi="標楷體"/>
                <w:bCs/>
                <w:szCs w:val="28"/>
              </w:rPr>
              <w:t>作業項目</w:t>
            </w:r>
          </w:p>
        </w:tc>
        <w:tc>
          <w:tcPr>
            <w:tcW w:w="4738" w:type="dxa"/>
            <w:vAlign w:val="center"/>
          </w:tcPr>
          <w:p w:rsidR="00E45333" w:rsidRPr="001A08B3" w:rsidRDefault="00E45333" w:rsidP="00662043">
            <w:pPr>
              <w:widowControl w:val="0"/>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後內容</w:t>
            </w:r>
          </w:p>
        </w:tc>
        <w:tc>
          <w:tcPr>
            <w:tcW w:w="4820" w:type="dxa"/>
            <w:vAlign w:val="center"/>
          </w:tcPr>
          <w:p w:rsidR="00E45333" w:rsidRPr="001A08B3" w:rsidRDefault="00E45333" w:rsidP="00662043">
            <w:pPr>
              <w:widowControl w:val="0"/>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前內容</w:t>
            </w:r>
          </w:p>
        </w:tc>
        <w:tc>
          <w:tcPr>
            <w:tcW w:w="2862" w:type="dxa"/>
            <w:vAlign w:val="center"/>
          </w:tcPr>
          <w:p w:rsidR="00E45333" w:rsidRPr="001A08B3" w:rsidRDefault="00E45333" w:rsidP="00662043">
            <w:pPr>
              <w:widowControl w:val="0"/>
              <w:spacing w:line="400" w:lineRule="exact"/>
              <w:jc w:val="center"/>
              <w:rPr>
                <w:rFonts w:ascii="標楷體" w:eastAsia="標楷體" w:hAnsi="標楷體"/>
                <w:bCs/>
                <w:szCs w:val="28"/>
              </w:rPr>
            </w:pPr>
            <w:r w:rsidRPr="001A08B3">
              <w:rPr>
                <w:rFonts w:ascii="標楷體" w:eastAsia="標楷體" w:hAnsi="標楷體"/>
                <w:bCs/>
                <w:szCs w:val="28"/>
              </w:rPr>
              <w:t>修</w:t>
            </w:r>
            <w:r w:rsidRPr="001A08B3">
              <w:rPr>
                <w:rFonts w:ascii="標楷體" w:eastAsia="標楷體" w:hAnsi="標楷體" w:hint="eastAsia"/>
                <w:bCs/>
                <w:szCs w:val="28"/>
              </w:rPr>
              <w:t>正</w:t>
            </w:r>
            <w:r w:rsidRPr="001A08B3">
              <w:rPr>
                <w:rFonts w:ascii="標楷體" w:eastAsia="標楷體" w:hAnsi="標楷體"/>
                <w:bCs/>
                <w:szCs w:val="28"/>
              </w:rPr>
              <w:t>說明</w:t>
            </w:r>
          </w:p>
        </w:tc>
      </w:tr>
      <w:tr w:rsidR="00E45333" w:rsidRPr="001A08B3" w:rsidTr="00640578">
        <w:trPr>
          <w:trHeight w:val="7850"/>
        </w:trPr>
        <w:tc>
          <w:tcPr>
            <w:tcW w:w="1260" w:type="dxa"/>
          </w:tcPr>
          <w:p w:rsidR="00E45333" w:rsidRPr="00640578" w:rsidRDefault="00E45333" w:rsidP="007641C7">
            <w:pPr>
              <w:pStyle w:val="HTML"/>
              <w:widowControl w:val="0"/>
              <w:spacing w:line="400" w:lineRule="exact"/>
              <w:ind w:rightChars="-23" w:right="-55"/>
              <w:jc w:val="both"/>
              <w:rPr>
                <w:rFonts w:ascii="標楷體" w:eastAsia="標楷體" w:hAnsi="標楷體" w:cs="Arial"/>
              </w:rPr>
            </w:pPr>
            <w:r w:rsidRPr="00640578">
              <w:rPr>
                <w:rFonts w:ascii="標楷體" w:eastAsia="標楷體" w:hAnsi="標楷體" w:cs="Arial"/>
                <w:kern w:val="2"/>
                <w:sz w:val="24"/>
                <w:szCs w:val="26"/>
              </w:rPr>
              <w:t>A</w:t>
            </w:r>
            <w:r w:rsidR="007603D2" w:rsidRPr="00640578">
              <w:rPr>
                <w:rFonts w:ascii="標楷體" w:eastAsia="標楷體" w:hAnsi="標楷體" w:cs="Arial" w:hint="eastAsia"/>
                <w:kern w:val="2"/>
                <w:sz w:val="24"/>
                <w:szCs w:val="26"/>
              </w:rPr>
              <w:t>B</w:t>
            </w:r>
            <w:r w:rsidRPr="00640578">
              <w:rPr>
                <w:rFonts w:ascii="標楷體" w:eastAsia="標楷體" w:hAnsi="標楷體" w:cs="Arial"/>
                <w:kern w:val="2"/>
                <w:sz w:val="24"/>
                <w:szCs w:val="26"/>
              </w:rPr>
              <w:t>-1</w:t>
            </w:r>
            <w:r w:rsidR="007603D2" w:rsidRPr="00640578">
              <w:rPr>
                <w:rFonts w:ascii="標楷體" w:eastAsia="標楷體" w:hAnsi="標楷體" w:cs="Arial" w:hint="eastAsia"/>
                <w:kern w:val="2"/>
                <w:sz w:val="24"/>
                <w:szCs w:val="26"/>
              </w:rPr>
              <w:t>70</w:t>
            </w:r>
            <w:r w:rsidRPr="00640578">
              <w:rPr>
                <w:rFonts w:ascii="標楷體" w:eastAsia="標楷體" w:hAnsi="標楷體" w:cs="Arial" w:hint="eastAsia"/>
                <w:kern w:val="2"/>
                <w:sz w:val="24"/>
                <w:szCs w:val="26"/>
              </w:rPr>
              <w:t>00</w:t>
            </w:r>
          </w:p>
          <w:p w:rsidR="007641C7" w:rsidRPr="00640578" w:rsidRDefault="007641C7" w:rsidP="007641C7">
            <w:pPr>
              <w:pStyle w:val="HTML"/>
              <w:widowControl w:val="0"/>
              <w:spacing w:line="400" w:lineRule="exact"/>
              <w:ind w:rightChars="-23" w:right="-55"/>
              <w:jc w:val="both"/>
              <w:rPr>
                <w:rFonts w:ascii="標楷體" w:eastAsia="標楷體" w:hAnsi="標楷體" w:cs="Arial"/>
              </w:rPr>
            </w:pPr>
          </w:p>
        </w:tc>
        <w:tc>
          <w:tcPr>
            <w:tcW w:w="1440" w:type="dxa"/>
          </w:tcPr>
          <w:p w:rsidR="00E45333" w:rsidRPr="00640578" w:rsidRDefault="007603D2" w:rsidP="00640578">
            <w:pPr>
              <w:widowControl w:val="0"/>
              <w:spacing w:line="400" w:lineRule="exact"/>
              <w:ind w:firstLine="23"/>
              <w:rPr>
                <w:rFonts w:ascii="標楷體" w:eastAsia="標楷體" w:hAnsi="標楷體" w:cs="Arial"/>
              </w:rPr>
            </w:pPr>
            <w:r w:rsidRPr="00640578">
              <w:rPr>
                <w:rFonts w:ascii="Arial" w:eastAsia="標楷體" w:hAnsi="Arial" w:cs="Arial" w:hint="eastAsia"/>
                <w:szCs w:val="26"/>
              </w:rPr>
              <w:t>辦理高齡客戶金融商品或服務適合度評估作業</w:t>
            </w:r>
            <w:r w:rsidR="00E45333" w:rsidRPr="00640578">
              <w:rPr>
                <w:rFonts w:ascii="Arial" w:eastAsia="標楷體" w:hAnsi="Arial" w:cs="Arial"/>
                <w:szCs w:val="26"/>
              </w:rPr>
              <w:t>之稽核</w:t>
            </w:r>
          </w:p>
          <w:p w:rsidR="00E45333" w:rsidRPr="00640578" w:rsidRDefault="00E45333" w:rsidP="00662043">
            <w:pPr>
              <w:widowControl w:val="0"/>
              <w:spacing w:line="400" w:lineRule="exact"/>
              <w:ind w:firstLine="22"/>
              <w:rPr>
                <w:rFonts w:ascii="標楷體" w:eastAsia="標楷體" w:hAnsi="標楷體" w:cs="Arial"/>
              </w:rPr>
            </w:pPr>
          </w:p>
          <w:p w:rsidR="00E45333" w:rsidRPr="00640578" w:rsidRDefault="00E45333" w:rsidP="00662043">
            <w:pPr>
              <w:widowControl w:val="0"/>
              <w:spacing w:line="400" w:lineRule="exact"/>
              <w:ind w:firstLine="22"/>
              <w:rPr>
                <w:rFonts w:ascii="標楷體" w:eastAsia="標楷體" w:hAnsi="標楷體" w:cs="Arial"/>
              </w:rPr>
            </w:pPr>
          </w:p>
          <w:p w:rsidR="00E45333" w:rsidRPr="00640578" w:rsidRDefault="00E45333" w:rsidP="00B34E72">
            <w:pPr>
              <w:widowControl w:val="0"/>
              <w:spacing w:line="400" w:lineRule="exact"/>
              <w:ind w:firstLine="22"/>
              <w:rPr>
                <w:rFonts w:ascii="Arial" w:eastAsia="標楷體" w:hAnsi="Arial" w:cs="Arial"/>
                <w:szCs w:val="26"/>
              </w:rPr>
            </w:pPr>
            <w:r w:rsidRPr="00640578">
              <w:rPr>
                <w:rFonts w:ascii="Arial" w:eastAsia="標楷體" w:hAnsi="Arial" w:cs="Arial" w:hint="eastAsia"/>
                <w:szCs w:val="26"/>
              </w:rPr>
              <w:t>作業週期：</w:t>
            </w:r>
          </w:p>
          <w:p w:rsidR="00E45333" w:rsidRPr="00640578" w:rsidRDefault="00E45333" w:rsidP="00B34E72">
            <w:pPr>
              <w:widowControl w:val="0"/>
              <w:spacing w:line="400" w:lineRule="exact"/>
              <w:ind w:firstLine="22"/>
              <w:rPr>
                <w:rFonts w:ascii="標楷體" w:eastAsia="標楷體" w:hAnsi="標楷體"/>
              </w:rPr>
            </w:pPr>
            <w:r w:rsidRPr="00640578">
              <w:rPr>
                <w:rFonts w:ascii="Arial" w:eastAsia="標楷體" w:hAnsi="Arial" w:cs="Arial"/>
                <w:szCs w:val="26"/>
              </w:rPr>
              <w:t>不定期：每</w:t>
            </w:r>
            <w:r w:rsidR="003158D9" w:rsidRPr="00640578">
              <w:rPr>
                <w:rFonts w:ascii="Arial" w:eastAsia="標楷體" w:hAnsi="Arial" w:cs="Arial" w:hint="eastAsia"/>
                <w:szCs w:val="26"/>
              </w:rPr>
              <w:t>季</w:t>
            </w:r>
            <w:r w:rsidRPr="00640578">
              <w:rPr>
                <w:rFonts w:ascii="Arial" w:eastAsia="標楷體" w:hAnsi="Arial" w:cs="Arial"/>
                <w:szCs w:val="26"/>
              </w:rPr>
              <w:t>查核</w:t>
            </w:r>
          </w:p>
          <w:p w:rsidR="00E45333" w:rsidRPr="00640578" w:rsidRDefault="00E45333" w:rsidP="007641C7">
            <w:pPr>
              <w:widowControl w:val="0"/>
              <w:spacing w:line="400" w:lineRule="exact"/>
              <w:ind w:firstLine="0"/>
              <w:jc w:val="both"/>
              <w:rPr>
                <w:rFonts w:ascii="標楷體" w:eastAsia="標楷體" w:hAnsi="標楷體"/>
              </w:rPr>
            </w:pPr>
          </w:p>
        </w:tc>
        <w:tc>
          <w:tcPr>
            <w:tcW w:w="4738" w:type="dxa"/>
          </w:tcPr>
          <w:p w:rsidR="00E45333" w:rsidRPr="00640578" w:rsidRDefault="00E45333" w:rsidP="00662043">
            <w:pPr>
              <w:pStyle w:val="HTML"/>
              <w:widowControl w:val="0"/>
              <w:spacing w:line="400" w:lineRule="exact"/>
              <w:ind w:rightChars="-23" w:right="-55"/>
              <w:jc w:val="both"/>
              <w:rPr>
                <w:rFonts w:ascii="標楷體" w:eastAsia="標楷體" w:hAnsi="標楷體" w:cs="Arial"/>
                <w:sz w:val="24"/>
                <w:szCs w:val="24"/>
              </w:rPr>
            </w:pPr>
            <w:r w:rsidRPr="00640578">
              <w:rPr>
                <w:rFonts w:ascii="Arial" w:eastAsia="標楷體" w:hAnsi="Arial" w:cs="Arial"/>
                <w:kern w:val="2"/>
                <w:sz w:val="24"/>
                <w:szCs w:val="26"/>
              </w:rPr>
              <w:t>作業程序</w:t>
            </w:r>
            <w:r w:rsidRPr="00640578">
              <w:rPr>
                <w:rFonts w:ascii="Arial" w:eastAsia="標楷體" w:hAnsi="Arial" w:cs="Arial"/>
                <w:kern w:val="2"/>
                <w:sz w:val="24"/>
                <w:szCs w:val="26"/>
              </w:rPr>
              <w:t>(</w:t>
            </w:r>
            <w:r w:rsidRPr="00640578">
              <w:rPr>
                <w:rFonts w:ascii="Arial" w:eastAsia="標楷體" w:hAnsi="Arial" w:cs="Arial"/>
                <w:kern w:val="2"/>
                <w:sz w:val="24"/>
                <w:szCs w:val="26"/>
              </w:rPr>
              <w:t>方法</w:t>
            </w:r>
            <w:r w:rsidRPr="00640578">
              <w:rPr>
                <w:rFonts w:ascii="Arial" w:eastAsia="標楷體" w:hAnsi="Arial" w:cs="Arial"/>
                <w:kern w:val="2"/>
                <w:sz w:val="24"/>
                <w:szCs w:val="26"/>
              </w:rPr>
              <w:t>)</w:t>
            </w:r>
            <w:r w:rsidRPr="00640578">
              <w:rPr>
                <w:rFonts w:ascii="Arial" w:eastAsia="標楷體" w:hAnsi="Arial" w:cs="Arial"/>
                <w:kern w:val="2"/>
                <w:sz w:val="24"/>
                <w:szCs w:val="26"/>
              </w:rPr>
              <w:t>及稽核重點：</w:t>
            </w:r>
          </w:p>
          <w:p w:rsidR="00640578" w:rsidRPr="00640578" w:rsidRDefault="00640578" w:rsidP="00640578">
            <w:pPr>
              <w:pStyle w:val="HTML"/>
              <w:widowControl w:val="0"/>
              <w:spacing w:line="400" w:lineRule="exact"/>
              <w:ind w:left="480" w:rightChars="-23" w:right="-55" w:hangingChars="200" w:hanging="480"/>
              <w:jc w:val="both"/>
              <w:rPr>
                <w:rFonts w:ascii="Arial" w:eastAsia="標楷體" w:hAnsi="Arial" w:cs="Arial"/>
                <w:color w:val="0000FF"/>
                <w:sz w:val="24"/>
                <w:szCs w:val="26"/>
                <w:u w:val="single"/>
              </w:rPr>
            </w:pPr>
            <w:r w:rsidRPr="00640578">
              <w:rPr>
                <w:rFonts w:ascii="Arial" w:eastAsia="標楷體" w:hAnsi="Arial" w:cs="Arial"/>
                <w:sz w:val="24"/>
                <w:szCs w:val="26"/>
              </w:rPr>
              <w:t>三、期貨信託事業定期更新基金適合度評估後，是否就未符合原定期定額投資基金風險等級之高齡客戶</w:t>
            </w:r>
            <w:r w:rsidRPr="00640578">
              <w:rPr>
                <w:rFonts w:ascii="Arial" w:eastAsia="標楷體" w:hAnsi="Arial" w:cs="Arial"/>
                <w:color w:val="0000FF"/>
                <w:sz w:val="24"/>
                <w:szCs w:val="26"/>
                <w:u w:val="single"/>
              </w:rPr>
              <w:t>仍得</w:t>
            </w:r>
            <w:r w:rsidRPr="00640578">
              <w:rPr>
                <w:rFonts w:ascii="Arial" w:eastAsia="標楷體" w:hAnsi="Arial" w:cs="Arial"/>
                <w:sz w:val="24"/>
                <w:szCs w:val="26"/>
              </w:rPr>
              <w:t>依</w:t>
            </w:r>
            <w:r w:rsidRPr="00640578">
              <w:rPr>
                <w:rFonts w:ascii="Arial" w:eastAsia="標楷體" w:hAnsi="Arial" w:cs="Arial"/>
                <w:color w:val="0000FF"/>
                <w:sz w:val="24"/>
                <w:szCs w:val="26"/>
                <w:u w:val="single"/>
              </w:rPr>
              <w:t>原約定條件辦理</w:t>
            </w:r>
            <w:r w:rsidRPr="00640578">
              <w:rPr>
                <w:rFonts w:ascii="Arial" w:eastAsia="標楷體" w:hAnsi="Arial" w:cs="Arial"/>
                <w:sz w:val="24"/>
                <w:szCs w:val="26"/>
              </w:rPr>
              <w:t>定期定額投資</w:t>
            </w:r>
            <w:r w:rsidRPr="00640578">
              <w:rPr>
                <w:rFonts w:ascii="Arial" w:eastAsia="標楷體" w:hAnsi="Arial" w:cs="Arial"/>
                <w:color w:val="0000FF"/>
                <w:sz w:val="24"/>
                <w:szCs w:val="26"/>
                <w:u w:val="single"/>
              </w:rPr>
              <w:t>作業，且是否不得</w:t>
            </w:r>
            <w:r w:rsidRPr="00640578">
              <w:rPr>
                <w:rFonts w:ascii="Arial" w:eastAsia="標楷體" w:hAnsi="Arial" w:cs="Arial"/>
                <w:sz w:val="24"/>
                <w:szCs w:val="26"/>
              </w:rPr>
              <w:t>新增扣款額度或頻率。</w:t>
            </w:r>
          </w:p>
          <w:p w:rsidR="00E45333" w:rsidRPr="00640578" w:rsidRDefault="00640578" w:rsidP="00640578">
            <w:pPr>
              <w:pStyle w:val="HTML"/>
              <w:widowControl w:val="0"/>
              <w:spacing w:line="400" w:lineRule="exact"/>
              <w:ind w:left="480" w:rightChars="-23" w:right="-55" w:hangingChars="200" w:hanging="480"/>
              <w:jc w:val="both"/>
              <w:rPr>
                <w:rFonts w:ascii="標楷體" w:eastAsia="標楷體" w:hAnsi="標楷體"/>
                <w:kern w:val="16"/>
              </w:rPr>
            </w:pPr>
            <w:r w:rsidRPr="00640578">
              <w:rPr>
                <w:rFonts w:ascii="Arial" w:eastAsia="標楷體" w:hAnsi="Arial" w:cs="Arial"/>
                <w:sz w:val="24"/>
                <w:szCs w:val="26"/>
              </w:rPr>
              <w:t>五、期貨信</w:t>
            </w:r>
            <w:bookmarkStart w:id="0" w:name="_GoBack"/>
            <w:bookmarkEnd w:id="0"/>
            <w:r w:rsidRPr="00640578">
              <w:rPr>
                <w:rFonts w:ascii="Arial" w:eastAsia="標楷體" w:hAnsi="Arial" w:cs="Arial"/>
                <w:sz w:val="24"/>
                <w:szCs w:val="26"/>
              </w:rPr>
              <w:t>託事業是否對</w:t>
            </w:r>
            <w:r w:rsidRPr="00640578">
              <w:rPr>
                <w:rFonts w:ascii="Arial" w:eastAsia="標楷體" w:hAnsi="Arial" w:cs="Arial"/>
                <w:color w:val="0000FF"/>
                <w:sz w:val="24"/>
                <w:szCs w:val="26"/>
                <w:u w:val="single"/>
              </w:rPr>
              <w:t>弱勢</w:t>
            </w:r>
            <w:r w:rsidRPr="00640578">
              <w:rPr>
                <w:rFonts w:ascii="Arial" w:eastAsia="標楷體" w:hAnsi="Arial" w:cs="Arial"/>
                <w:sz w:val="24"/>
                <w:szCs w:val="26"/>
              </w:rPr>
              <w:t>高齡客戶</w:t>
            </w:r>
            <w:r w:rsidRPr="00640578">
              <w:rPr>
                <w:rFonts w:ascii="Arial" w:eastAsia="標楷體" w:hAnsi="Arial" w:cs="Arial"/>
                <w:color w:val="0000FF"/>
                <w:sz w:val="24"/>
                <w:szCs w:val="26"/>
                <w:u w:val="single"/>
              </w:rPr>
              <w:t>從事高波動度基金定期定額等事先約定條件之投資新增扣款額度或頻率、</w:t>
            </w:r>
            <w:r w:rsidRPr="00640578">
              <w:rPr>
                <w:rFonts w:ascii="Arial" w:eastAsia="標楷體" w:hAnsi="Arial" w:cs="Arial"/>
                <w:sz w:val="24"/>
                <w:szCs w:val="26"/>
              </w:rPr>
              <w:t>新增高波動度基金定期定額等事先約定條件之投資契約或單筆新申購，辦理交易後回訪。</w:t>
            </w:r>
          </w:p>
        </w:tc>
        <w:tc>
          <w:tcPr>
            <w:tcW w:w="4820" w:type="dxa"/>
          </w:tcPr>
          <w:p w:rsidR="00640578" w:rsidRPr="00640578" w:rsidRDefault="00640578" w:rsidP="00640578">
            <w:pPr>
              <w:pStyle w:val="HTML"/>
              <w:widowControl w:val="0"/>
              <w:spacing w:line="400" w:lineRule="exact"/>
              <w:ind w:rightChars="-23" w:right="-55"/>
              <w:jc w:val="both"/>
              <w:rPr>
                <w:rFonts w:ascii="標楷體" w:eastAsia="標楷體" w:hAnsi="標楷體" w:cs="Arial"/>
                <w:sz w:val="24"/>
                <w:szCs w:val="24"/>
              </w:rPr>
            </w:pPr>
            <w:r w:rsidRPr="00640578">
              <w:rPr>
                <w:rFonts w:ascii="Arial" w:eastAsia="標楷體" w:hAnsi="Arial" w:cs="Arial"/>
                <w:kern w:val="2"/>
                <w:sz w:val="24"/>
                <w:szCs w:val="26"/>
              </w:rPr>
              <w:t>作業程序</w:t>
            </w:r>
            <w:r w:rsidRPr="00640578">
              <w:rPr>
                <w:rFonts w:ascii="Arial" w:eastAsia="標楷體" w:hAnsi="Arial" w:cs="Arial"/>
                <w:kern w:val="2"/>
                <w:sz w:val="24"/>
                <w:szCs w:val="26"/>
              </w:rPr>
              <w:t>(</w:t>
            </w:r>
            <w:r w:rsidRPr="00640578">
              <w:rPr>
                <w:rFonts w:ascii="Arial" w:eastAsia="標楷體" w:hAnsi="Arial" w:cs="Arial"/>
                <w:kern w:val="2"/>
                <w:sz w:val="24"/>
                <w:szCs w:val="26"/>
              </w:rPr>
              <w:t>方法</w:t>
            </w:r>
            <w:r w:rsidRPr="00640578">
              <w:rPr>
                <w:rFonts w:ascii="Arial" w:eastAsia="標楷體" w:hAnsi="Arial" w:cs="Arial"/>
                <w:kern w:val="2"/>
                <w:sz w:val="24"/>
                <w:szCs w:val="26"/>
              </w:rPr>
              <w:t>)</w:t>
            </w:r>
            <w:r w:rsidRPr="00640578">
              <w:rPr>
                <w:rFonts w:ascii="Arial" w:eastAsia="標楷體" w:hAnsi="Arial" w:cs="Arial"/>
                <w:kern w:val="2"/>
                <w:sz w:val="24"/>
                <w:szCs w:val="26"/>
              </w:rPr>
              <w:t>及稽核重點：</w:t>
            </w:r>
          </w:p>
          <w:p w:rsidR="00640578" w:rsidRPr="00640578" w:rsidRDefault="00640578" w:rsidP="00640578">
            <w:pPr>
              <w:pStyle w:val="HTML"/>
              <w:widowControl w:val="0"/>
              <w:spacing w:line="400" w:lineRule="exact"/>
              <w:ind w:left="480" w:rightChars="-23" w:right="-55" w:hangingChars="200" w:hanging="480"/>
              <w:jc w:val="both"/>
              <w:rPr>
                <w:rFonts w:ascii="Arial" w:eastAsia="標楷體" w:hAnsi="Arial" w:cs="Arial"/>
                <w:color w:val="0000FF"/>
                <w:sz w:val="24"/>
                <w:szCs w:val="26"/>
                <w:u w:val="single"/>
              </w:rPr>
            </w:pPr>
            <w:r w:rsidRPr="00640578">
              <w:rPr>
                <w:rFonts w:ascii="Arial" w:eastAsia="標楷體" w:hAnsi="Arial" w:cs="Arial"/>
                <w:sz w:val="24"/>
                <w:szCs w:val="26"/>
              </w:rPr>
              <w:t>三、</w:t>
            </w:r>
            <w:r w:rsidR="00BA5538" w:rsidRPr="00BA5538">
              <w:rPr>
                <w:rFonts w:ascii="Arial" w:eastAsia="標楷體" w:hAnsi="Arial" w:cs="Arial"/>
                <w:sz w:val="24"/>
                <w:szCs w:val="26"/>
              </w:rPr>
              <w:t>期貨信託事業定期更新基金適合度評估後，是否就未符合原定期定額投資基金風險等級之高齡客戶依</w:t>
            </w:r>
            <w:r w:rsidR="00BA5538" w:rsidRPr="00BA5538">
              <w:rPr>
                <w:rFonts w:ascii="Arial" w:eastAsia="標楷體" w:hAnsi="Arial" w:cs="Arial"/>
                <w:sz w:val="24"/>
                <w:szCs w:val="26"/>
                <w:u w:val="single"/>
              </w:rPr>
              <w:t>高波動度基金</w:t>
            </w:r>
            <w:r w:rsidR="00BA5538" w:rsidRPr="00BA5538">
              <w:rPr>
                <w:rFonts w:ascii="Arial" w:eastAsia="標楷體" w:hAnsi="Arial" w:cs="Arial"/>
                <w:sz w:val="24"/>
                <w:szCs w:val="26"/>
              </w:rPr>
              <w:t>定期定額</w:t>
            </w:r>
            <w:r w:rsidR="00BA5538" w:rsidRPr="00BA5538">
              <w:rPr>
                <w:rFonts w:ascii="Arial" w:eastAsia="標楷體" w:hAnsi="Arial" w:cs="Arial"/>
                <w:sz w:val="24"/>
                <w:szCs w:val="26"/>
                <w:u w:val="single"/>
              </w:rPr>
              <w:t>等事先約定條件之</w:t>
            </w:r>
            <w:r w:rsidR="00BA5538" w:rsidRPr="00BA5538">
              <w:rPr>
                <w:rFonts w:ascii="Arial" w:eastAsia="標楷體" w:hAnsi="Arial" w:cs="Arial"/>
                <w:sz w:val="24"/>
                <w:szCs w:val="26"/>
              </w:rPr>
              <w:t>投資新增扣款額度或頻率</w:t>
            </w:r>
            <w:r w:rsidR="00BA5538" w:rsidRPr="00BA5538">
              <w:rPr>
                <w:rFonts w:ascii="Arial" w:eastAsia="標楷體" w:hAnsi="Arial" w:cs="Arial"/>
                <w:sz w:val="24"/>
                <w:szCs w:val="26"/>
                <w:u w:val="single"/>
              </w:rPr>
              <w:t>，辦理交易後回訪</w:t>
            </w:r>
            <w:r w:rsidRPr="00640578">
              <w:rPr>
                <w:rFonts w:ascii="Arial" w:eastAsia="標楷體" w:hAnsi="Arial" w:cs="Arial"/>
                <w:sz w:val="24"/>
                <w:szCs w:val="26"/>
              </w:rPr>
              <w:t>。</w:t>
            </w:r>
          </w:p>
          <w:p w:rsidR="002C5E9B" w:rsidRPr="00640578" w:rsidRDefault="00640578" w:rsidP="00640578">
            <w:pPr>
              <w:pStyle w:val="HTML"/>
              <w:widowControl w:val="0"/>
              <w:spacing w:line="400" w:lineRule="exact"/>
              <w:ind w:left="480" w:rightChars="-23" w:right="-55" w:hangingChars="200" w:hanging="480"/>
              <w:jc w:val="both"/>
              <w:rPr>
                <w:rFonts w:ascii="標楷體" w:eastAsia="標楷體" w:hAnsi="標楷體"/>
              </w:rPr>
            </w:pPr>
            <w:r w:rsidRPr="00640578">
              <w:rPr>
                <w:rFonts w:ascii="Arial" w:eastAsia="標楷體" w:hAnsi="Arial" w:cs="Arial"/>
                <w:sz w:val="24"/>
                <w:szCs w:val="26"/>
              </w:rPr>
              <w:t>五、</w:t>
            </w:r>
            <w:r w:rsidR="00BA5538" w:rsidRPr="00BA5538">
              <w:rPr>
                <w:rFonts w:ascii="Arial" w:eastAsia="標楷體" w:hAnsi="Arial" w:cs="Arial"/>
                <w:sz w:val="24"/>
                <w:szCs w:val="26"/>
              </w:rPr>
              <w:t>期貨信託事業是否對高齡客戶新增高波動度基金定期定額等事先約定條件之投資契約或單筆新申購，辦理交易後回訪</w:t>
            </w:r>
            <w:r w:rsidRPr="00640578">
              <w:rPr>
                <w:rFonts w:ascii="Arial" w:eastAsia="標楷體" w:hAnsi="Arial" w:cs="Arial"/>
                <w:sz w:val="24"/>
                <w:szCs w:val="26"/>
              </w:rPr>
              <w:t>。</w:t>
            </w:r>
          </w:p>
        </w:tc>
        <w:tc>
          <w:tcPr>
            <w:tcW w:w="2862" w:type="dxa"/>
          </w:tcPr>
          <w:p w:rsidR="00E45333" w:rsidRPr="00640578" w:rsidRDefault="009635D8" w:rsidP="00384A08">
            <w:pPr>
              <w:pStyle w:val="HTML"/>
              <w:widowControl w:val="0"/>
              <w:spacing w:line="400" w:lineRule="exact"/>
              <w:ind w:rightChars="-23" w:right="-55"/>
              <w:jc w:val="both"/>
              <w:rPr>
                <w:rFonts w:ascii="標楷體" w:eastAsia="標楷體" w:hAnsi="標楷體"/>
                <w:sz w:val="24"/>
                <w:szCs w:val="24"/>
              </w:rPr>
            </w:pPr>
            <w:r w:rsidRPr="00640578">
              <w:rPr>
                <w:rFonts w:ascii="Arial" w:eastAsia="標楷體" w:hAnsi="Arial" w:cs="Arial" w:hint="eastAsia"/>
                <w:kern w:val="2"/>
                <w:sz w:val="24"/>
                <w:szCs w:val="26"/>
              </w:rPr>
              <w:t>配合</w:t>
            </w:r>
            <w:r w:rsidRPr="00640578">
              <w:rPr>
                <w:rFonts w:ascii="標楷體" w:eastAsia="標楷體" w:hAnsi="標楷體" w:cs="Arial" w:hint="eastAsia"/>
                <w:kern w:val="2"/>
                <w:sz w:val="24"/>
                <w:szCs w:val="26"/>
              </w:rPr>
              <w:t>C</w:t>
            </w:r>
            <w:r w:rsidR="00551432" w:rsidRPr="00640578">
              <w:rPr>
                <w:rFonts w:ascii="標楷體" w:eastAsia="標楷體" w:hAnsi="標楷體" w:cs="Arial" w:hint="eastAsia"/>
                <w:kern w:val="2"/>
                <w:sz w:val="24"/>
                <w:szCs w:val="26"/>
              </w:rPr>
              <w:t>B</w:t>
            </w:r>
            <w:r w:rsidRPr="00640578">
              <w:rPr>
                <w:rFonts w:ascii="標楷體" w:eastAsia="標楷體" w:hAnsi="標楷體" w:cs="Arial" w:hint="eastAsia"/>
                <w:kern w:val="2"/>
                <w:sz w:val="24"/>
                <w:szCs w:val="26"/>
              </w:rPr>
              <w:t>-1</w:t>
            </w:r>
            <w:r w:rsidR="00551432" w:rsidRPr="00640578">
              <w:rPr>
                <w:rFonts w:ascii="標楷體" w:eastAsia="標楷體" w:hAnsi="標楷體" w:cs="Arial" w:hint="eastAsia"/>
                <w:kern w:val="2"/>
                <w:sz w:val="24"/>
                <w:szCs w:val="26"/>
              </w:rPr>
              <w:t>70</w:t>
            </w:r>
            <w:r w:rsidRPr="00640578">
              <w:rPr>
                <w:rFonts w:ascii="標楷體" w:eastAsia="標楷體" w:hAnsi="標楷體" w:cs="Arial" w:hint="eastAsia"/>
                <w:kern w:val="2"/>
                <w:sz w:val="24"/>
                <w:szCs w:val="26"/>
              </w:rPr>
              <w:t>00</w:t>
            </w:r>
            <w:r w:rsidR="00384A08" w:rsidRPr="00640578">
              <w:rPr>
                <w:rFonts w:ascii="標楷體" w:eastAsia="標楷體" w:hAnsi="標楷體" w:cs="Arial" w:hint="eastAsia"/>
                <w:kern w:val="2"/>
                <w:sz w:val="24"/>
                <w:szCs w:val="26"/>
              </w:rPr>
              <w:t>內容</w:t>
            </w:r>
            <w:r w:rsidR="00664077" w:rsidRPr="00640578">
              <w:rPr>
                <w:rFonts w:ascii="標楷體" w:eastAsia="標楷體" w:hAnsi="標楷體" w:cs="Arial"/>
                <w:kern w:val="2"/>
                <w:sz w:val="24"/>
                <w:szCs w:val="26"/>
              </w:rPr>
              <w:t>修正</w:t>
            </w:r>
            <w:r w:rsidR="00384A08" w:rsidRPr="00640578">
              <w:rPr>
                <w:rFonts w:ascii="標楷體" w:eastAsia="標楷體" w:hAnsi="標楷體" w:cs="Arial" w:hint="eastAsia"/>
                <w:kern w:val="2"/>
                <w:sz w:val="24"/>
                <w:szCs w:val="26"/>
              </w:rPr>
              <w:t>，爰</w:t>
            </w:r>
            <w:r w:rsidRPr="00640578">
              <w:rPr>
                <w:rFonts w:ascii="Arial" w:eastAsia="標楷體" w:hAnsi="Arial" w:cs="Arial" w:hint="eastAsia"/>
                <w:kern w:val="2"/>
                <w:sz w:val="24"/>
                <w:szCs w:val="26"/>
              </w:rPr>
              <w:t>增訂</w:t>
            </w:r>
            <w:r w:rsidR="00384A08" w:rsidRPr="00640578">
              <w:rPr>
                <w:rFonts w:ascii="Arial" w:eastAsia="標楷體" w:hAnsi="Arial" w:cs="Arial"/>
                <w:kern w:val="2"/>
                <w:sz w:val="24"/>
                <w:szCs w:val="26"/>
              </w:rPr>
              <w:t>作業程序</w:t>
            </w:r>
            <w:r w:rsidR="00384A08" w:rsidRPr="00640578">
              <w:rPr>
                <w:rFonts w:ascii="Arial" w:eastAsia="標楷體" w:hAnsi="Arial" w:cs="Arial"/>
                <w:kern w:val="2"/>
                <w:sz w:val="24"/>
                <w:szCs w:val="26"/>
              </w:rPr>
              <w:t>(</w:t>
            </w:r>
            <w:r w:rsidR="00384A08" w:rsidRPr="00640578">
              <w:rPr>
                <w:rFonts w:ascii="Arial" w:eastAsia="標楷體" w:hAnsi="Arial" w:cs="Arial"/>
                <w:kern w:val="2"/>
                <w:sz w:val="24"/>
                <w:szCs w:val="26"/>
              </w:rPr>
              <w:t>方法</w:t>
            </w:r>
            <w:r w:rsidR="00384A08" w:rsidRPr="00640578">
              <w:rPr>
                <w:rFonts w:ascii="Arial" w:eastAsia="標楷體" w:hAnsi="Arial" w:cs="Arial"/>
                <w:kern w:val="2"/>
                <w:sz w:val="24"/>
                <w:szCs w:val="26"/>
              </w:rPr>
              <w:t>)</w:t>
            </w:r>
            <w:r w:rsidR="00384A08" w:rsidRPr="00640578">
              <w:rPr>
                <w:rFonts w:ascii="Arial" w:eastAsia="標楷體" w:hAnsi="Arial" w:cs="Arial"/>
                <w:kern w:val="2"/>
                <w:sz w:val="24"/>
                <w:szCs w:val="26"/>
              </w:rPr>
              <w:t>及稽核重點</w:t>
            </w:r>
            <w:r w:rsidRPr="00640578">
              <w:rPr>
                <w:rFonts w:ascii="Arial" w:eastAsia="標楷體" w:hAnsi="Arial" w:cs="Arial" w:hint="eastAsia"/>
                <w:kern w:val="2"/>
                <w:sz w:val="24"/>
                <w:szCs w:val="26"/>
              </w:rPr>
              <w:t>。</w:t>
            </w:r>
          </w:p>
        </w:tc>
      </w:tr>
    </w:tbl>
    <w:p w:rsidR="00426C7F" w:rsidRPr="00426C7F" w:rsidRDefault="00426C7F" w:rsidP="00E45333">
      <w:pPr>
        <w:snapToGrid w:val="0"/>
        <w:spacing w:line="400" w:lineRule="exact"/>
        <w:rPr>
          <w:rFonts w:ascii="標楷體" w:eastAsia="標楷體" w:hAnsi="標楷體"/>
          <w:spacing w:val="24"/>
        </w:rPr>
        <w:sectPr w:rsidR="00426C7F" w:rsidRPr="00426C7F" w:rsidSect="009F1551">
          <w:footerReference w:type="default" r:id="rId8"/>
          <w:pgSz w:w="16838" w:h="11906" w:orient="landscape" w:code="9"/>
          <w:pgMar w:top="1134" w:right="822" w:bottom="851" w:left="1134" w:header="680" w:footer="454" w:gutter="0"/>
          <w:cols w:space="425"/>
          <w:docGrid w:type="lines" w:linePitch="360"/>
        </w:sectPr>
      </w:pPr>
    </w:p>
    <w:p w:rsidR="00E45333" w:rsidRPr="009F716C" w:rsidRDefault="00810E43" w:rsidP="00E45333">
      <w:pPr>
        <w:spacing w:after="120" w:line="400" w:lineRule="exact"/>
        <w:ind w:firstLine="0"/>
        <w:jc w:val="both"/>
        <w:rPr>
          <w:rFonts w:ascii="標楷體" w:eastAsia="標楷體" w:hAnsi="標楷體"/>
          <w:b/>
          <w:sz w:val="28"/>
          <w:szCs w:val="28"/>
        </w:rPr>
      </w:pPr>
      <w:r>
        <w:rPr>
          <w:rFonts w:ascii="標楷體" w:eastAsia="標楷體" w:hAnsi="標楷體" w:hint="eastAsia"/>
          <w:b/>
          <w:bCs/>
          <w:sz w:val="28"/>
          <w:szCs w:val="32"/>
        </w:rPr>
        <w:lastRenderedPageBreak/>
        <w:t>二</w:t>
      </w:r>
      <w:r w:rsidR="00E45333" w:rsidRPr="009F716C">
        <w:rPr>
          <w:rFonts w:ascii="標楷體" w:eastAsia="標楷體" w:hAnsi="標楷體" w:hint="eastAsia"/>
          <w:b/>
          <w:bCs/>
          <w:sz w:val="28"/>
          <w:szCs w:val="32"/>
        </w:rPr>
        <w:t>、期貨信託事業內部稽核</w:t>
      </w:r>
      <w:r w:rsidR="00E45333" w:rsidRPr="009F716C">
        <w:rPr>
          <w:rFonts w:ascii="標楷體" w:eastAsia="標楷體" w:hAnsi="標楷體" w:hint="eastAsia"/>
          <w:b/>
          <w:sz w:val="28"/>
          <w:szCs w:val="28"/>
        </w:rPr>
        <w:t>查核明細表修正內容</w:t>
      </w:r>
    </w:p>
    <w:p w:rsidR="00E45333" w:rsidRPr="00BA5538" w:rsidRDefault="00E45333" w:rsidP="00236E6E">
      <w:pPr>
        <w:spacing w:line="400" w:lineRule="exact"/>
        <w:ind w:firstLine="198"/>
        <w:jc w:val="center"/>
        <w:rPr>
          <w:rFonts w:ascii="標楷體" w:eastAsia="標楷體" w:hAnsi="標楷體"/>
          <w:spacing w:val="24"/>
        </w:rPr>
      </w:pPr>
      <w:r w:rsidRPr="001A08B3">
        <w:rPr>
          <w:rFonts w:ascii="標楷體" w:eastAsia="標楷體" w:hAnsi="標楷體" w:hint="eastAsia"/>
          <w:spacing w:val="24"/>
        </w:rPr>
        <w:t xml:space="preserve">         </w:t>
      </w:r>
      <w:r w:rsidRPr="00BA5538">
        <w:rPr>
          <w:rFonts w:ascii="標楷體" w:eastAsia="標楷體" w:hAnsi="標楷體" w:hint="eastAsia"/>
          <w:spacing w:val="24"/>
        </w:rPr>
        <w:t xml:space="preserve">  </w:t>
      </w:r>
      <w:r w:rsidRPr="00BA5538">
        <w:rPr>
          <w:rFonts w:ascii="Arial" w:eastAsia="標楷體" w:hAnsi="Arial" w:cs="Arial" w:hint="eastAsia"/>
          <w:spacing w:val="24"/>
          <w:szCs w:val="26"/>
        </w:rPr>
        <w:t>股份有限公司</w:t>
      </w:r>
    </w:p>
    <w:p w:rsidR="00E45333" w:rsidRPr="00BA5538" w:rsidRDefault="00E45333" w:rsidP="00E45333">
      <w:pPr>
        <w:spacing w:line="400" w:lineRule="exact"/>
        <w:jc w:val="center"/>
        <w:rPr>
          <w:rFonts w:ascii="標楷體" w:eastAsia="標楷體" w:hAnsi="標楷體"/>
          <w:spacing w:val="24"/>
        </w:rPr>
      </w:pPr>
      <w:r w:rsidRPr="00BA5538">
        <w:rPr>
          <w:rFonts w:ascii="Arial" w:eastAsia="標楷體" w:hAnsi="Arial" w:cs="Arial"/>
          <w:noProof/>
          <w:szCs w:val="26"/>
        </w:rPr>
        <mc:AlternateContent>
          <mc:Choice Requires="wps">
            <w:drawing>
              <wp:anchor distT="0" distB="0" distL="114300" distR="114300" simplePos="0" relativeHeight="251661312" behindDoc="0" locked="0" layoutInCell="1" allowOverlap="1" wp14:anchorId="63355E1E" wp14:editId="11688D5A">
                <wp:simplePos x="0" y="0"/>
                <wp:positionH relativeFrom="column">
                  <wp:posOffset>236220</wp:posOffset>
                </wp:positionH>
                <wp:positionV relativeFrom="paragraph">
                  <wp:posOffset>177800</wp:posOffset>
                </wp:positionV>
                <wp:extent cx="1905000" cy="381000"/>
                <wp:effectExtent l="3175" t="0" r="0" b="190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779C2" w:rsidRPr="00BA5538" w:rsidRDefault="00236E6E" w:rsidP="00236E6E">
                            <w:pPr>
                              <w:widowControl w:val="0"/>
                              <w:spacing w:line="400" w:lineRule="exact"/>
                              <w:ind w:firstLine="22"/>
                              <w:rPr>
                                <w:rFonts w:ascii="標楷體" w:eastAsia="標楷體" w:hAnsi="標楷體"/>
                              </w:rPr>
                            </w:pPr>
                            <w:r w:rsidRPr="00BA5538">
                              <w:rPr>
                                <w:rFonts w:ascii="Arial" w:eastAsia="標楷體" w:hAnsi="Arial" w:cs="Arial" w:hint="eastAsia"/>
                                <w:szCs w:val="26"/>
                              </w:rPr>
                              <w:t>作業週期：</w:t>
                            </w:r>
                            <w:r w:rsidRPr="00BA5538">
                              <w:rPr>
                                <w:rFonts w:ascii="Arial" w:eastAsia="標楷體" w:hAnsi="Arial" w:cs="Arial"/>
                                <w:szCs w:val="26"/>
                              </w:rPr>
                              <w:t>每</w:t>
                            </w:r>
                            <w:r w:rsidR="003158D9" w:rsidRPr="00BA5538">
                              <w:rPr>
                                <w:rFonts w:ascii="Arial" w:eastAsia="標楷體" w:hAnsi="Arial" w:cs="Arial" w:hint="eastAsia"/>
                                <w:szCs w:val="26"/>
                              </w:rPr>
                              <w:t>季</w:t>
                            </w:r>
                            <w:r w:rsidRPr="00BA5538">
                              <w:rPr>
                                <w:rFonts w:ascii="Arial" w:eastAsia="標楷體" w:hAnsi="Arial" w:cs="Arial"/>
                                <w:szCs w:val="26"/>
                              </w:rPr>
                              <w:t>查核</w:t>
                            </w:r>
                          </w:p>
                          <w:p w:rsidR="004779C2" w:rsidRDefault="004779C2" w:rsidP="00E4533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5E1E" id="矩形 8" o:spid="_x0000_s1026" style="position:absolute;left:0;text-align:left;margin-left:18.6pt;margin-top:14pt;width:15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" filled="f" stroked="f" strokecolor="white" strokeweight="4pt">
                <v:textbox inset="1pt,1pt,1pt,1pt">
                  <w:txbxContent>
                    <w:p w:rsidR="004779C2" w:rsidRPr="00BA5538" w:rsidRDefault="00236E6E" w:rsidP="00236E6E">
                      <w:pPr>
                        <w:widowControl w:val="0"/>
                        <w:spacing w:line="400" w:lineRule="exact"/>
                        <w:ind w:firstLine="22"/>
                        <w:rPr>
                          <w:rFonts w:ascii="標楷體" w:eastAsia="標楷體" w:hAnsi="標楷體"/>
                        </w:rPr>
                      </w:pPr>
                      <w:r w:rsidRPr="00BA5538">
                        <w:rPr>
                          <w:rFonts w:ascii="Arial" w:eastAsia="標楷體" w:hAnsi="Arial" w:cs="Arial" w:hint="eastAsia"/>
                          <w:szCs w:val="26"/>
                        </w:rPr>
                        <w:t>作業週期：</w:t>
                      </w:r>
                      <w:r w:rsidRPr="00BA5538">
                        <w:rPr>
                          <w:rFonts w:ascii="Arial" w:eastAsia="標楷體" w:hAnsi="Arial" w:cs="Arial"/>
                          <w:szCs w:val="26"/>
                        </w:rPr>
                        <w:t>每</w:t>
                      </w:r>
                      <w:r w:rsidR="003158D9" w:rsidRPr="00BA5538">
                        <w:rPr>
                          <w:rFonts w:ascii="Arial" w:eastAsia="標楷體" w:hAnsi="Arial" w:cs="Arial" w:hint="eastAsia"/>
                          <w:szCs w:val="26"/>
                        </w:rPr>
                        <w:t>季</w:t>
                      </w:r>
                      <w:r w:rsidRPr="00BA5538">
                        <w:rPr>
                          <w:rFonts w:ascii="Arial" w:eastAsia="標楷體" w:hAnsi="Arial" w:cs="Arial"/>
                          <w:szCs w:val="26"/>
                        </w:rPr>
                        <w:t>查核</w:t>
                      </w:r>
                    </w:p>
                    <w:p w:rsidR="004779C2" w:rsidRDefault="004779C2" w:rsidP="00E45333"/>
                  </w:txbxContent>
                </v:textbox>
              </v:rect>
            </w:pict>
          </mc:Fallback>
        </mc:AlternateContent>
      </w:r>
      <w:r w:rsidR="007603D2" w:rsidRPr="00BA5538">
        <w:rPr>
          <w:rFonts w:ascii="Arial" w:eastAsia="標楷體" w:hAnsi="Arial" w:cs="Arial" w:hint="eastAsia"/>
          <w:szCs w:val="26"/>
        </w:rPr>
        <w:t>業務及收入循環</w:t>
      </w:r>
    </w:p>
    <w:p w:rsidR="00E45333" w:rsidRPr="00BA5538" w:rsidRDefault="007603D2" w:rsidP="00E45333">
      <w:pPr>
        <w:spacing w:line="400" w:lineRule="exact"/>
        <w:jc w:val="center"/>
        <w:rPr>
          <w:rFonts w:ascii="標楷體" w:eastAsia="標楷體" w:hAnsi="標楷體"/>
        </w:rPr>
      </w:pPr>
      <w:r w:rsidRPr="00BA5538">
        <w:rPr>
          <w:rFonts w:ascii="Arial" w:eastAsia="標楷體" w:hAnsi="Arial" w:cs="Arial" w:hint="eastAsia"/>
          <w:szCs w:val="26"/>
        </w:rPr>
        <w:t>辦理高齡客戶金融商品或服務適合度評估</w:t>
      </w:r>
      <w:r w:rsidR="00236E6E" w:rsidRPr="00BA5538">
        <w:rPr>
          <w:rFonts w:ascii="Arial" w:eastAsia="標楷體" w:hAnsi="Arial" w:cs="Arial" w:hint="eastAsia"/>
          <w:szCs w:val="26"/>
        </w:rPr>
        <w:t>作業</w:t>
      </w:r>
      <w:r w:rsidR="00E45333" w:rsidRPr="00BA5538">
        <w:rPr>
          <w:rFonts w:ascii="Arial" w:eastAsia="標楷體" w:hAnsi="Arial" w:cs="Arial" w:hint="eastAsia"/>
          <w:szCs w:val="26"/>
        </w:rPr>
        <w:t>查核明細表</w:t>
      </w:r>
      <w:r w:rsidR="00E45333" w:rsidRPr="00BA5538">
        <w:rPr>
          <w:rFonts w:ascii="標楷體" w:eastAsia="標楷體" w:hAnsi="標楷體" w:hint="eastAsia"/>
          <w:noProof/>
        </w:rPr>
        <w:t xml:space="preserve"> </w:t>
      </w:r>
    </w:p>
    <w:tbl>
      <w:tblPr>
        <w:tblW w:w="140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7920"/>
        <w:gridCol w:w="720"/>
        <w:gridCol w:w="720"/>
        <w:gridCol w:w="873"/>
        <w:gridCol w:w="1827"/>
      </w:tblGrid>
      <w:tr w:rsidR="00BA5538" w:rsidRPr="00BA5538" w:rsidTr="00495098">
        <w:trPr>
          <w:cantSplit/>
          <w:trHeight w:hRule="exact" w:val="400"/>
        </w:trPr>
        <w:tc>
          <w:tcPr>
            <w:tcW w:w="1980" w:type="dxa"/>
            <w:vMerge w:val="restart"/>
            <w:tcBorders>
              <w:top w:val="single" w:sz="12" w:space="0" w:color="auto"/>
              <w:left w:val="single" w:sz="12" w:space="0" w:color="auto"/>
            </w:tcBorders>
            <w:vAlign w:val="center"/>
          </w:tcPr>
          <w:p w:rsidR="00E45333" w:rsidRPr="00BA5538" w:rsidRDefault="00E45333" w:rsidP="00665692">
            <w:pPr>
              <w:jc w:val="center"/>
              <w:rPr>
                <w:rFonts w:ascii="標楷體" w:eastAsia="標楷體" w:hAnsi="標楷體"/>
              </w:rPr>
            </w:pPr>
            <w:r w:rsidRPr="00BA5538">
              <w:rPr>
                <w:rFonts w:ascii="標楷體" w:eastAsia="標楷體" w:hAnsi="標楷體" w:hint="eastAsia"/>
              </w:rPr>
              <w:t>項</w:t>
            </w:r>
            <w:r w:rsidRPr="00BA5538">
              <w:rPr>
                <w:rFonts w:ascii="標楷體" w:eastAsia="標楷體" w:hAnsi="標楷體"/>
              </w:rPr>
              <w:t xml:space="preserve">     </w:t>
            </w:r>
            <w:r w:rsidRPr="00BA5538">
              <w:rPr>
                <w:rFonts w:ascii="標楷體" w:eastAsia="標楷體" w:hAnsi="標楷體" w:hint="eastAsia"/>
              </w:rPr>
              <w:t>目</w:t>
            </w:r>
          </w:p>
        </w:tc>
        <w:tc>
          <w:tcPr>
            <w:tcW w:w="7920" w:type="dxa"/>
            <w:vMerge w:val="restart"/>
            <w:tcBorders>
              <w:top w:val="single" w:sz="12" w:space="0" w:color="auto"/>
            </w:tcBorders>
            <w:vAlign w:val="center"/>
          </w:tcPr>
          <w:p w:rsidR="00E45333" w:rsidRPr="00BA5538" w:rsidRDefault="00E45333" w:rsidP="00665692">
            <w:pPr>
              <w:jc w:val="center"/>
              <w:rPr>
                <w:rFonts w:ascii="標楷體" w:eastAsia="標楷體" w:hAnsi="標楷體"/>
              </w:rPr>
            </w:pPr>
            <w:r w:rsidRPr="00BA5538">
              <w:rPr>
                <w:rFonts w:ascii="標楷體" w:eastAsia="標楷體" w:hAnsi="標楷體" w:hint="eastAsia"/>
              </w:rPr>
              <w:t>查</w:t>
            </w:r>
            <w:r w:rsidRPr="00BA5538">
              <w:rPr>
                <w:rFonts w:ascii="標楷體" w:eastAsia="標楷體" w:hAnsi="標楷體"/>
              </w:rPr>
              <w:t xml:space="preserve">          </w:t>
            </w:r>
            <w:r w:rsidRPr="00BA5538">
              <w:rPr>
                <w:rFonts w:ascii="標楷體" w:eastAsia="標楷體" w:hAnsi="標楷體" w:hint="eastAsia"/>
              </w:rPr>
              <w:t>核</w:t>
            </w:r>
            <w:r w:rsidRPr="00BA5538">
              <w:rPr>
                <w:rFonts w:ascii="標楷體" w:eastAsia="標楷體" w:hAnsi="標楷體"/>
              </w:rPr>
              <w:t xml:space="preserve">          </w:t>
            </w:r>
            <w:r w:rsidRPr="00BA5538">
              <w:rPr>
                <w:rFonts w:ascii="標楷體" w:eastAsia="標楷體" w:hAnsi="標楷體" w:hint="eastAsia"/>
              </w:rPr>
              <w:t>程</w:t>
            </w:r>
            <w:r w:rsidRPr="00BA5538">
              <w:rPr>
                <w:rFonts w:ascii="標楷體" w:eastAsia="標楷體" w:hAnsi="標楷體"/>
              </w:rPr>
              <w:t xml:space="preserve">          </w:t>
            </w:r>
            <w:r w:rsidRPr="00BA5538">
              <w:rPr>
                <w:rFonts w:ascii="標楷體" w:eastAsia="標楷體" w:hAnsi="標楷體" w:hint="eastAsia"/>
              </w:rPr>
              <w:t>序</w:t>
            </w:r>
          </w:p>
        </w:tc>
        <w:tc>
          <w:tcPr>
            <w:tcW w:w="2313" w:type="dxa"/>
            <w:gridSpan w:val="3"/>
            <w:tcBorders>
              <w:top w:val="single" w:sz="12" w:space="0" w:color="auto"/>
            </w:tcBorders>
            <w:vAlign w:val="center"/>
          </w:tcPr>
          <w:p w:rsidR="00E45333" w:rsidRPr="00BA5538" w:rsidRDefault="00E45333" w:rsidP="00665692">
            <w:pPr>
              <w:jc w:val="center"/>
              <w:rPr>
                <w:rFonts w:ascii="標楷體" w:eastAsia="標楷體" w:hAnsi="標楷體"/>
                <w:spacing w:val="60"/>
              </w:rPr>
            </w:pPr>
            <w:r w:rsidRPr="00BA5538">
              <w:rPr>
                <w:rFonts w:ascii="標楷體" w:eastAsia="標楷體" w:hAnsi="標楷體" w:hint="eastAsia"/>
                <w:spacing w:val="60"/>
                <w:sz w:val="22"/>
              </w:rPr>
              <w:t>查核結果</w:t>
            </w:r>
          </w:p>
        </w:tc>
        <w:tc>
          <w:tcPr>
            <w:tcW w:w="1827" w:type="dxa"/>
            <w:vMerge w:val="restart"/>
            <w:tcBorders>
              <w:top w:val="single" w:sz="12" w:space="0" w:color="auto"/>
              <w:right w:val="single" w:sz="12" w:space="0" w:color="auto"/>
            </w:tcBorders>
            <w:vAlign w:val="center"/>
          </w:tcPr>
          <w:p w:rsidR="00E45333" w:rsidRPr="00BA5538" w:rsidRDefault="00E45333" w:rsidP="00665692">
            <w:pPr>
              <w:jc w:val="center"/>
              <w:rPr>
                <w:rFonts w:ascii="標楷體" w:eastAsia="標楷體" w:hAnsi="標楷體"/>
              </w:rPr>
            </w:pPr>
            <w:r w:rsidRPr="00BA5538">
              <w:rPr>
                <w:rFonts w:ascii="標楷體" w:eastAsia="標楷體" w:hAnsi="標楷體" w:hint="eastAsia"/>
                <w:spacing w:val="60"/>
              </w:rPr>
              <w:t>底稿索引</w:t>
            </w:r>
          </w:p>
        </w:tc>
      </w:tr>
      <w:tr w:rsidR="00BA5538" w:rsidRPr="00BA5538" w:rsidTr="00495098">
        <w:trPr>
          <w:cantSplit/>
          <w:trHeight w:hRule="exact" w:val="400"/>
        </w:trPr>
        <w:tc>
          <w:tcPr>
            <w:tcW w:w="1980" w:type="dxa"/>
            <w:vMerge/>
            <w:tcBorders>
              <w:left w:val="single" w:sz="12" w:space="0" w:color="auto"/>
            </w:tcBorders>
          </w:tcPr>
          <w:p w:rsidR="00E45333" w:rsidRPr="00BA5538" w:rsidRDefault="00E45333" w:rsidP="00665692">
            <w:pPr>
              <w:rPr>
                <w:rFonts w:ascii="標楷體" w:eastAsia="標楷體" w:hAnsi="標楷體"/>
              </w:rPr>
            </w:pPr>
          </w:p>
        </w:tc>
        <w:tc>
          <w:tcPr>
            <w:tcW w:w="7920" w:type="dxa"/>
            <w:vMerge/>
          </w:tcPr>
          <w:p w:rsidR="00E45333" w:rsidRPr="00BA5538" w:rsidRDefault="00E45333" w:rsidP="00665692">
            <w:pPr>
              <w:rPr>
                <w:rFonts w:ascii="標楷體" w:eastAsia="標楷體" w:hAnsi="標楷體"/>
              </w:rPr>
            </w:pPr>
          </w:p>
        </w:tc>
        <w:tc>
          <w:tcPr>
            <w:tcW w:w="720" w:type="dxa"/>
          </w:tcPr>
          <w:p w:rsidR="00E45333" w:rsidRPr="00BA5538" w:rsidRDefault="00E45333" w:rsidP="00785FDE">
            <w:pPr>
              <w:rPr>
                <w:rFonts w:ascii="標楷體" w:eastAsia="標楷體" w:hAnsi="標楷體"/>
                <w:sz w:val="22"/>
              </w:rPr>
            </w:pPr>
            <w:r w:rsidRPr="00BA5538">
              <w:rPr>
                <w:rFonts w:ascii="標楷體" w:eastAsia="標楷體" w:hAnsi="標楷體" w:hint="eastAsia"/>
                <w:sz w:val="22"/>
              </w:rPr>
              <w:t>是</w:t>
            </w:r>
          </w:p>
        </w:tc>
        <w:tc>
          <w:tcPr>
            <w:tcW w:w="720" w:type="dxa"/>
          </w:tcPr>
          <w:p w:rsidR="00E45333" w:rsidRPr="00BA5538" w:rsidRDefault="00E45333" w:rsidP="00785FDE">
            <w:pPr>
              <w:rPr>
                <w:rFonts w:ascii="標楷體" w:eastAsia="標楷體" w:hAnsi="標楷體"/>
                <w:sz w:val="22"/>
              </w:rPr>
            </w:pPr>
            <w:r w:rsidRPr="00BA5538">
              <w:rPr>
                <w:rFonts w:ascii="標楷體" w:eastAsia="標楷體" w:hAnsi="標楷體" w:hint="eastAsia"/>
                <w:sz w:val="22"/>
              </w:rPr>
              <w:t>否</w:t>
            </w:r>
          </w:p>
        </w:tc>
        <w:tc>
          <w:tcPr>
            <w:tcW w:w="873" w:type="dxa"/>
          </w:tcPr>
          <w:p w:rsidR="00E45333" w:rsidRPr="00BA5538" w:rsidRDefault="00E45333" w:rsidP="00495098">
            <w:pPr>
              <w:widowControl w:val="0"/>
              <w:ind w:firstLine="0"/>
              <w:jc w:val="center"/>
              <w:rPr>
                <w:rFonts w:ascii="標楷體" w:eastAsia="標楷體" w:hAnsi="標楷體"/>
                <w:sz w:val="22"/>
              </w:rPr>
            </w:pPr>
            <w:r w:rsidRPr="00BA5538">
              <w:rPr>
                <w:rFonts w:ascii="標楷體" w:eastAsia="標楷體" w:hAnsi="標楷體" w:hint="eastAsia"/>
                <w:sz w:val="22"/>
              </w:rPr>
              <w:t>不適用</w:t>
            </w:r>
          </w:p>
        </w:tc>
        <w:tc>
          <w:tcPr>
            <w:tcW w:w="1827" w:type="dxa"/>
            <w:vMerge/>
            <w:tcBorders>
              <w:right w:val="single" w:sz="12" w:space="0" w:color="auto"/>
            </w:tcBorders>
          </w:tcPr>
          <w:p w:rsidR="00E45333" w:rsidRPr="00BA5538" w:rsidRDefault="00E45333" w:rsidP="00665692">
            <w:pPr>
              <w:rPr>
                <w:rFonts w:ascii="標楷體" w:eastAsia="標楷體" w:hAnsi="標楷體"/>
              </w:rPr>
            </w:pPr>
          </w:p>
        </w:tc>
      </w:tr>
      <w:tr w:rsidR="00BA5538" w:rsidRPr="00BA5538" w:rsidTr="007641C7">
        <w:trPr>
          <w:trHeight w:hRule="exact" w:val="5578"/>
        </w:trPr>
        <w:tc>
          <w:tcPr>
            <w:tcW w:w="1980" w:type="dxa"/>
            <w:tcBorders>
              <w:left w:val="single" w:sz="12" w:space="0" w:color="auto"/>
            </w:tcBorders>
          </w:tcPr>
          <w:p w:rsidR="00E45333" w:rsidRPr="00BA5538" w:rsidRDefault="007603D2" w:rsidP="00306657">
            <w:pPr>
              <w:pStyle w:val="aa"/>
              <w:spacing w:line="360" w:lineRule="exact"/>
              <w:ind w:left="0" w:firstLine="0"/>
              <w:jc w:val="both"/>
              <w:rPr>
                <w:rFonts w:ascii="標楷體" w:eastAsia="標楷體" w:hAnsi="標楷體" w:cs="Arial"/>
              </w:rPr>
            </w:pPr>
            <w:r w:rsidRPr="00BA5538">
              <w:rPr>
                <w:rFonts w:ascii="Arial" w:eastAsia="標楷體" w:hAnsi="Arial" w:cs="Arial" w:hint="eastAsia"/>
                <w:sz w:val="24"/>
                <w:szCs w:val="26"/>
              </w:rPr>
              <w:t>辦理高齡客戶金融商品或服務適合度評估作業</w:t>
            </w:r>
            <w:r w:rsidRPr="00BA5538">
              <w:rPr>
                <w:rFonts w:ascii="Arial" w:eastAsia="標楷體" w:hAnsi="Arial" w:cs="Arial"/>
                <w:sz w:val="24"/>
                <w:szCs w:val="26"/>
              </w:rPr>
              <w:t>之稽核</w:t>
            </w:r>
          </w:p>
        </w:tc>
        <w:tc>
          <w:tcPr>
            <w:tcW w:w="7920" w:type="dxa"/>
          </w:tcPr>
          <w:p w:rsidR="00236E6E" w:rsidRPr="00BA5538" w:rsidRDefault="00306657" w:rsidP="007641C7">
            <w:pPr>
              <w:widowControl w:val="0"/>
              <w:snapToGrid w:val="0"/>
              <w:spacing w:line="380" w:lineRule="exact"/>
              <w:ind w:left="480" w:hangingChars="200" w:hanging="480"/>
              <w:jc w:val="both"/>
              <w:rPr>
                <w:rFonts w:ascii="Arial" w:eastAsia="標楷體" w:hAnsi="Arial" w:cs="Arial"/>
                <w:szCs w:val="26"/>
              </w:rPr>
            </w:pPr>
            <w:r w:rsidRPr="00BA5538">
              <w:rPr>
                <w:rFonts w:ascii="Arial" w:eastAsia="標楷體" w:hAnsi="Arial" w:cs="Arial" w:hint="eastAsia"/>
                <w:szCs w:val="26"/>
              </w:rPr>
              <w:t>一、</w:t>
            </w:r>
            <w:r w:rsidR="007641C7" w:rsidRPr="00BA5538">
              <w:rPr>
                <w:rFonts w:ascii="標楷體" w:eastAsia="標楷體" w:hAnsi="標楷體" w:cs="Arial" w:hint="eastAsia"/>
                <w:kern w:val="0"/>
                <w:szCs w:val="26"/>
              </w:rPr>
              <w:t>針對高齡客戶之基金風險等級評估，是否有符合高齡客戶之風險承受度評估項目，並是否適當考量影響基金風險等級分類較高之因子，以充分反映其風險等級及標示特性。</w:t>
            </w:r>
            <w:r w:rsidR="00236E6E" w:rsidRPr="00BA5538">
              <w:rPr>
                <w:rFonts w:ascii="Arial" w:eastAsia="標楷體" w:hAnsi="Arial" w:cs="Arial" w:hint="eastAsia"/>
                <w:szCs w:val="26"/>
              </w:rPr>
              <w:t>。</w:t>
            </w:r>
          </w:p>
          <w:p w:rsidR="00236E6E" w:rsidRPr="00BA5538" w:rsidRDefault="00306657" w:rsidP="007641C7">
            <w:pPr>
              <w:widowControl w:val="0"/>
              <w:snapToGrid w:val="0"/>
              <w:spacing w:line="380" w:lineRule="exact"/>
              <w:ind w:left="480" w:hangingChars="200" w:hanging="480"/>
              <w:jc w:val="both"/>
              <w:rPr>
                <w:rFonts w:ascii="Arial" w:eastAsia="標楷體" w:hAnsi="Arial" w:cs="Arial"/>
                <w:szCs w:val="26"/>
              </w:rPr>
            </w:pPr>
            <w:r w:rsidRPr="00BA5538">
              <w:rPr>
                <w:rFonts w:ascii="Arial" w:eastAsia="標楷體" w:hAnsi="Arial" w:cs="Arial" w:hint="eastAsia"/>
                <w:szCs w:val="26"/>
              </w:rPr>
              <w:t>二、</w:t>
            </w:r>
            <w:r w:rsidR="007641C7" w:rsidRPr="00BA5538">
              <w:rPr>
                <w:rFonts w:ascii="Arial" w:eastAsia="標楷體" w:hAnsi="Arial" w:cs="Arial" w:hint="eastAsia"/>
                <w:szCs w:val="26"/>
              </w:rPr>
              <w:t>期貨信託事業是否強化</w:t>
            </w:r>
            <w:r w:rsidR="007641C7" w:rsidRPr="00BA5538">
              <w:rPr>
                <w:rFonts w:ascii="標楷體" w:eastAsia="標楷體" w:hAnsi="標楷體" w:cs="Arial" w:hint="eastAsia"/>
                <w:kern w:val="0"/>
                <w:szCs w:val="26"/>
              </w:rPr>
              <w:t>弱勢高齡客戶交易</w:t>
            </w:r>
            <w:r w:rsidR="007641C7" w:rsidRPr="00BA5538">
              <w:rPr>
                <w:rFonts w:ascii="Arial" w:eastAsia="標楷體" w:hAnsi="Arial" w:cs="Arial" w:hint="eastAsia"/>
                <w:szCs w:val="26"/>
              </w:rPr>
              <w:t>高波動度基金前控管機制，以避免業務人員不當銷售之行為。</w:t>
            </w:r>
          </w:p>
          <w:p w:rsidR="00306657" w:rsidRPr="00BA5538" w:rsidRDefault="007641C7" w:rsidP="007641C7">
            <w:pPr>
              <w:widowControl w:val="0"/>
              <w:snapToGrid w:val="0"/>
              <w:spacing w:line="380" w:lineRule="exact"/>
              <w:ind w:left="480" w:hangingChars="200" w:hanging="480"/>
              <w:jc w:val="both"/>
              <w:rPr>
                <w:rFonts w:ascii="Arial" w:eastAsia="標楷體" w:hAnsi="Arial" w:cs="Arial"/>
                <w:szCs w:val="26"/>
              </w:rPr>
            </w:pPr>
            <w:r w:rsidRPr="00BA5538">
              <w:rPr>
                <w:rFonts w:ascii="Arial" w:eastAsia="標楷體" w:hAnsi="Arial" w:cs="Arial" w:hint="eastAsia"/>
                <w:szCs w:val="26"/>
              </w:rPr>
              <w:t>三、</w:t>
            </w:r>
            <w:r w:rsidR="00BA5538" w:rsidRPr="00BA5538">
              <w:rPr>
                <w:rFonts w:ascii="Arial" w:eastAsia="標楷體" w:hAnsi="Arial" w:cs="Arial" w:hint="eastAsia"/>
                <w:szCs w:val="26"/>
              </w:rPr>
              <w:t>期貨信託事業定期更新基金適合度評估後，是否就未符合原定期定額投資基金風險等級之高齡客戶</w:t>
            </w:r>
            <w:r w:rsidR="00BA5538" w:rsidRPr="00BA5538">
              <w:rPr>
                <w:rFonts w:ascii="標楷體" w:eastAsia="標楷體" w:hAnsi="標楷體" w:hint="eastAsia"/>
                <w:color w:val="0000FF"/>
                <w:szCs w:val="26"/>
                <w:u w:val="single"/>
              </w:rPr>
              <w:t>仍得</w:t>
            </w:r>
            <w:r w:rsidR="00BA5538" w:rsidRPr="00BA5538">
              <w:rPr>
                <w:rFonts w:ascii="標楷體" w:eastAsia="標楷體" w:hAnsi="標楷體" w:hint="eastAsia"/>
                <w:szCs w:val="26"/>
              </w:rPr>
              <w:t>依</w:t>
            </w:r>
            <w:r w:rsidR="00BA5538" w:rsidRPr="00BA5538">
              <w:rPr>
                <w:rFonts w:ascii="標楷體" w:eastAsia="標楷體" w:hAnsi="標楷體" w:hint="eastAsia"/>
                <w:color w:val="0000FF"/>
                <w:szCs w:val="26"/>
                <w:u w:val="single"/>
              </w:rPr>
              <w:t>原約定條件辦理</w:t>
            </w:r>
            <w:r w:rsidR="00BA5538" w:rsidRPr="00BA5538">
              <w:rPr>
                <w:rFonts w:ascii="標楷體" w:eastAsia="標楷體" w:hAnsi="標楷體" w:hint="eastAsia"/>
                <w:szCs w:val="26"/>
              </w:rPr>
              <w:t>定期定額投資</w:t>
            </w:r>
            <w:r w:rsidR="00BA5538" w:rsidRPr="00BA5538">
              <w:rPr>
                <w:rFonts w:ascii="標楷體" w:eastAsia="標楷體" w:hAnsi="標楷體" w:hint="eastAsia"/>
                <w:color w:val="0000FF"/>
                <w:szCs w:val="26"/>
                <w:u w:val="single"/>
              </w:rPr>
              <w:t>作業，且是否不得</w:t>
            </w:r>
            <w:r w:rsidR="00BA5538" w:rsidRPr="00BA5538">
              <w:rPr>
                <w:rFonts w:ascii="標楷體" w:eastAsia="標楷體" w:hAnsi="標楷體" w:hint="eastAsia"/>
                <w:szCs w:val="26"/>
              </w:rPr>
              <w:t>新增扣款額度或頻率</w:t>
            </w:r>
            <w:r w:rsidRPr="00BA5538">
              <w:rPr>
                <w:rFonts w:ascii="Arial" w:eastAsia="標楷體" w:hAnsi="Arial" w:cs="Arial" w:hint="eastAsia"/>
                <w:szCs w:val="26"/>
              </w:rPr>
              <w:t>。</w:t>
            </w:r>
          </w:p>
          <w:p w:rsidR="007641C7" w:rsidRPr="00BA5538" w:rsidRDefault="007641C7" w:rsidP="007641C7">
            <w:pPr>
              <w:widowControl w:val="0"/>
              <w:snapToGrid w:val="0"/>
              <w:spacing w:line="380" w:lineRule="exact"/>
              <w:ind w:left="480" w:hangingChars="200" w:hanging="480"/>
              <w:jc w:val="both"/>
              <w:rPr>
                <w:rFonts w:ascii="Arial" w:eastAsia="標楷體" w:hAnsi="Arial" w:cs="Arial"/>
                <w:szCs w:val="26"/>
              </w:rPr>
            </w:pPr>
            <w:r w:rsidRPr="00BA5538">
              <w:rPr>
                <w:rFonts w:ascii="Arial" w:eastAsia="標楷體" w:hAnsi="Arial" w:cs="Arial" w:hint="eastAsia"/>
                <w:szCs w:val="26"/>
              </w:rPr>
              <w:t>四、期貨信託事業是否確實執行高齡客戶以外他人代為指示交易條件之相關管</w:t>
            </w:r>
            <w:r w:rsidRPr="00BA5538">
              <w:rPr>
                <w:rFonts w:ascii="標楷體" w:eastAsia="標楷體" w:hAnsi="標楷體" w:hint="eastAsia"/>
                <w:szCs w:val="26"/>
              </w:rPr>
              <w:t>控措施，以及</w:t>
            </w:r>
            <w:r w:rsidRPr="00BA5538">
              <w:rPr>
                <w:rFonts w:ascii="Arial" w:eastAsia="標楷體" w:hAnsi="Arial" w:cs="Arial" w:hint="eastAsia"/>
                <w:szCs w:val="26"/>
              </w:rPr>
              <w:t>適用高齡客戶之交易監控及加強查核機制。</w:t>
            </w:r>
          </w:p>
          <w:p w:rsidR="007641C7" w:rsidRPr="00BA5538" w:rsidRDefault="007641C7" w:rsidP="007641C7">
            <w:pPr>
              <w:widowControl w:val="0"/>
              <w:snapToGrid w:val="0"/>
              <w:spacing w:line="380" w:lineRule="exact"/>
              <w:ind w:left="480" w:hangingChars="200" w:hanging="480"/>
              <w:jc w:val="both"/>
              <w:rPr>
                <w:rFonts w:ascii="標楷體" w:eastAsia="標楷體" w:hAnsi="標楷體" w:cs="Arial"/>
                <w:spacing w:val="-4"/>
              </w:rPr>
            </w:pPr>
            <w:r w:rsidRPr="00BA5538">
              <w:rPr>
                <w:rFonts w:ascii="Arial" w:eastAsia="標楷體" w:hAnsi="Arial" w:cs="Arial" w:hint="eastAsia"/>
                <w:szCs w:val="26"/>
              </w:rPr>
              <w:t>五、</w:t>
            </w:r>
            <w:r w:rsidR="00BA5538" w:rsidRPr="00BA5538">
              <w:rPr>
                <w:rFonts w:ascii="Arial" w:eastAsia="標楷體" w:hAnsi="Arial" w:cs="Arial" w:hint="eastAsia"/>
                <w:szCs w:val="26"/>
              </w:rPr>
              <w:t>期貨信託事業是否對</w:t>
            </w:r>
            <w:r w:rsidR="00BA5538" w:rsidRPr="00BA5538">
              <w:rPr>
                <w:rFonts w:ascii="Arial" w:eastAsia="標楷體" w:hAnsi="Arial" w:cs="Arial" w:hint="eastAsia"/>
                <w:color w:val="0000FF"/>
                <w:szCs w:val="26"/>
                <w:u w:val="single"/>
              </w:rPr>
              <w:t>弱勢</w:t>
            </w:r>
            <w:r w:rsidR="00BA5538" w:rsidRPr="00BA5538">
              <w:rPr>
                <w:rFonts w:ascii="Arial" w:eastAsia="標楷體" w:hAnsi="Arial" w:cs="Arial" w:hint="eastAsia"/>
                <w:szCs w:val="26"/>
              </w:rPr>
              <w:t>高齡客戶</w:t>
            </w:r>
            <w:r w:rsidR="00BA5538" w:rsidRPr="00BA5538">
              <w:rPr>
                <w:rFonts w:ascii="標楷體" w:eastAsia="標楷體" w:hAnsi="標楷體" w:hint="eastAsia"/>
                <w:color w:val="0000FF"/>
                <w:szCs w:val="26"/>
                <w:u w:val="single"/>
              </w:rPr>
              <w:t>從事高波動度基金定期定額等事先約定條件之投資新增扣款額度或頻率、</w:t>
            </w:r>
            <w:r w:rsidR="00BA5538" w:rsidRPr="00BA5538">
              <w:rPr>
                <w:rFonts w:ascii="Arial" w:eastAsia="標楷體" w:hAnsi="Arial" w:cs="Arial" w:hint="eastAsia"/>
                <w:szCs w:val="26"/>
              </w:rPr>
              <w:t>新增高波動度基金定期定額等事先約定條件之投資契約或單筆新申購，辦理交易後回訪</w:t>
            </w:r>
            <w:r w:rsidRPr="00BA5538">
              <w:rPr>
                <w:rFonts w:ascii="Arial" w:eastAsia="標楷體" w:hAnsi="Arial" w:cs="Arial" w:hint="eastAsia"/>
                <w:szCs w:val="26"/>
              </w:rPr>
              <w:t>。</w:t>
            </w:r>
          </w:p>
        </w:tc>
        <w:tc>
          <w:tcPr>
            <w:tcW w:w="720" w:type="dxa"/>
          </w:tcPr>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tc>
        <w:tc>
          <w:tcPr>
            <w:tcW w:w="720" w:type="dxa"/>
          </w:tcPr>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tc>
        <w:tc>
          <w:tcPr>
            <w:tcW w:w="873" w:type="dxa"/>
          </w:tcPr>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p w:rsidR="00E45333" w:rsidRPr="00BA5538" w:rsidRDefault="00E45333" w:rsidP="00306657">
            <w:pPr>
              <w:spacing w:line="360" w:lineRule="exact"/>
              <w:jc w:val="center"/>
              <w:rPr>
                <w:rFonts w:ascii="標楷體" w:eastAsia="標楷體" w:hAnsi="標楷體"/>
              </w:rPr>
            </w:pPr>
          </w:p>
        </w:tc>
        <w:tc>
          <w:tcPr>
            <w:tcW w:w="1827" w:type="dxa"/>
            <w:tcBorders>
              <w:right w:val="single" w:sz="12" w:space="0" w:color="auto"/>
            </w:tcBorders>
          </w:tcPr>
          <w:p w:rsidR="00E45333" w:rsidRPr="00BA5538" w:rsidRDefault="00E45333" w:rsidP="00306657">
            <w:pPr>
              <w:spacing w:line="360" w:lineRule="exact"/>
              <w:rPr>
                <w:rFonts w:ascii="標楷體" w:eastAsia="標楷體" w:hAnsi="標楷體"/>
              </w:rPr>
            </w:pPr>
          </w:p>
        </w:tc>
      </w:tr>
      <w:tr w:rsidR="00E45333" w:rsidRPr="001A08B3" w:rsidTr="007641C7">
        <w:trPr>
          <w:cantSplit/>
          <w:trHeight w:hRule="exact" w:val="1124"/>
        </w:trPr>
        <w:tc>
          <w:tcPr>
            <w:tcW w:w="14040" w:type="dxa"/>
            <w:gridSpan w:val="6"/>
            <w:tcBorders>
              <w:left w:val="single" w:sz="12" w:space="0" w:color="auto"/>
              <w:bottom w:val="single" w:sz="12" w:space="0" w:color="auto"/>
              <w:right w:val="single" w:sz="12" w:space="0" w:color="auto"/>
            </w:tcBorders>
          </w:tcPr>
          <w:p w:rsidR="00E45333" w:rsidRPr="001A08B3" w:rsidRDefault="00E45333" w:rsidP="00665692">
            <w:pPr>
              <w:rPr>
                <w:rFonts w:ascii="標楷體" w:eastAsia="標楷體" w:hAnsi="標楷體"/>
              </w:rPr>
            </w:pPr>
            <w:r w:rsidRPr="001A08B3">
              <w:rPr>
                <w:rFonts w:ascii="標楷體" w:eastAsia="標楷體" w:hAnsi="標楷體" w:hint="eastAsia"/>
                <w:spacing w:val="24"/>
              </w:rPr>
              <w:t xml:space="preserve"> 備</w:t>
            </w:r>
            <w:r w:rsidRPr="001A08B3">
              <w:rPr>
                <w:rFonts w:ascii="標楷體" w:eastAsia="標楷體" w:hAnsi="標楷體"/>
                <w:spacing w:val="24"/>
              </w:rPr>
              <w:t xml:space="preserve">  </w:t>
            </w:r>
            <w:r w:rsidRPr="001A08B3">
              <w:rPr>
                <w:rFonts w:ascii="標楷體" w:eastAsia="標楷體" w:hAnsi="標楷體" w:hint="eastAsia"/>
                <w:spacing w:val="24"/>
              </w:rPr>
              <w:t>註：</w:t>
            </w:r>
          </w:p>
        </w:tc>
      </w:tr>
    </w:tbl>
    <w:p w:rsidR="00426C7F" w:rsidRDefault="00E45333" w:rsidP="00BA5538">
      <w:pPr>
        <w:spacing w:line="500" w:lineRule="atLeast"/>
        <w:ind w:firstLine="9361"/>
        <w:jc w:val="both"/>
        <w:rPr>
          <w:rFonts w:ascii="標楷體" w:eastAsia="標楷體" w:hAnsi="標楷體"/>
          <w:spacing w:val="24"/>
        </w:rPr>
      </w:pPr>
      <w:r w:rsidRPr="001A08B3">
        <w:rPr>
          <w:rFonts w:ascii="標楷體" w:eastAsia="標楷體" w:hAnsi="標楷體" w:hint="eastAsia"/>
          <w:spacing w:val="24"/>
        </w:rPr>
        <w:t>稽核人員</w:t>
      </w:r>
      <w:r w:rsidRPr="001A08B3">
        <w:rPr>
          <w:rFonts w:ascii="標楷體" w:eastAsia="標楷體" w:hAnsi="標楷體"/>
          <w:spacing w:val="24"/>
        </w:rPr>
        <w:t xml:space="preserve"> </w:t>
      </w:r>
      <w:r w:rsidRPr="001A08B3">
        <w:rPr>
          <w:rFonts w:ascii="標楷體" w:eastAsia="標楷體" w:hAnsi="標楷體" w:hint="eastAsia"/>
          <w:spacing w:val="24"/>
        </w:rPr>
        <w:t xml:space="preserve">　　　　</w:t>
      </w:r>
      <w:r w:rsidRPr="001A08B3">
        <w:rPr>
          <w:rFonts w:ascii="標楷體" w:eastAsia="標楷體" w:hAnsi="標楷體"/>
          <w:spacing w:val="24"/>
        </w:rPr>
        <w:t xml:space="preserve"> </w:t>
      </w:r>
      <w:r w:rsidRPr="001A08B3">
        <w:rPr>
          <w:rFonts w:ascii="標楷體" w:eastAsia="標楷體" w:hAnsi="標楷體" w:hint="eastAsia"/>
          <w:spacing w:val="24"/>
        </w:rPr>
        <w:t>日</w:t>
      </w:r>
      <w:r w:rsidRPr="001A08B3">
        <w:rPr>
          <w:rFonts w:ascii="標楷體" w:eastAsia="標楷體" w:hAnsi="標楷體"/>
          <w:spacing w:val="24"/>
        </w:rPr>
        <w:t xml:space="preserve"> </w:t>
      </w:r>
      <w:r w:rsidRPr="001A08B3">
        <w:rPr>
          <w:rFonts w:ascii="標楷體" w:eastAsia="標楷體" w:hAnsi="標楷體" w:hint="eastAsia"/>
          <w:spacing w:val="24"/>
        </w:rPr>
        <w:t>期</w:t>
      </w:r>
    </w:p>
    <w:sectPr w:rsidR="00426C7F" w:rsidSect="00B34E72">
      <w:footerReference w:type="default" r:id="rId9"/>
      <w:pgSz w:w="16838" w:h="11906" w:orient="landscape" w:code="9"/>
      <w:pgMar w:top="1077" w:right="1418" w:bottom="851" w:left="1418"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F9" w:rsidRDefault="002303F9" w:rsidP="00E45333">
      <w:r>
        <w:separator/>
      </w:r>
    </w:p>
  </w:endnote>
  <w:endnote w:type="continuationSeparator" w:id="0">
    <w:p w:rsidR="002303F9" w:rsidRDefault="002303F9" w:rsidP="00E4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W2">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C2" w:rsidRPr="00E45333" w:rsidRDefault="002303F9" w:rsidP="000C36E1">
    <w:pPr>
      <w:pStyle w:val="a5"/>
      <w:ind w:rightChars="-100" w:right="-240" w:firstLine="0"/>
      <w:rPr>
        <w:rFonts w:ascii="標楷體" w:eastAsia="標楷體" w:hAnsi="標楷體" w:cs="Times New Roman"/>
        <w:szCs w:val="24"/>
      </w:rPr>
    </w:pPr>
    <w:sdt>
      <w:sdtPr>
        <w:id w:val="-702560942"/>
        <w:docPartObj>
          <w:docPartGallery w:val="Page Numbers (Bottom of Page)"/>
          <w:docPartUnique/>
        </w:docPartObj>
      </w:sdtPr>
      <w:sdtEndPr>
        <w:rPr>
          <w:rFonts w:ascii="Arial" w:eastAsia="標楷體" w:hAnsi="Arial" w:cs="Times New Roman" w:hint="eastAsia"/>
          <w:szCs w:val="24"/>
        </w:rPr>
      </w:sdtEndPr>
      <w:sdtContent>
        <w:r w:rsidR="004779C2" w:rsidRPr="000C36E1">
          <w:rPr>
            <w:rFonts w:ascii="Times New Roman" w:eastAsia="標楷體" w:hAnsi="Times New Roman" w:hint="eastAsia"/>
          </w:rPr>
          <w:t>11</w:t>
        </w:r>
        <w:r w:rsidR="004779C2" w:rsidRPr="00142C68">
          <w:rPr>
            <w:rFonts w:ascii="Times New Roman" w:eastAsia="標楷體" w:hAnsi="Times New Roman" w:cs="Times New Roman"/>
          </w:rPr>
          <w:t>1</w:t>
        </w:r>
        <w:r w:rsidR="004779C2" w:rsidRPr="000C36E1">
          <w:rPr>
            <w:rFonts w:ascii="Times New Roman" w:eastAsia="標楷體" w:hAnsi="Times New Roman" w:hint="eastAsia"/>
          </w:rPr>
          <w:t>年</w:t>
        </w:r>
        <w:r w:rsidR="00BA5538" w:rsidRPr="00BA5538">
          <w:rPr>
            <w:rFonts w:ascii="Times New Roman" w:eastAsia="標楷體" w:hAnsi="Times New Roman" w:cs="Times New Roman"/>
          </w:rPr>
          <w:t>6</w:t>
        </w:r>
        <w:r w:rsidR="004779C2" w:rsidRPr="000C36E1">
          <w:rPr>
            <w:rFonts w:ascii="Times New Roman" w:eastAsia="標楷體" w:hAnsi="Times New Roman" w:hint="eastAsia"/>
          </w:rPr>
          <w:t>月</w:t>
        </w:r>
      </w:sdtContent>
    </w:sdt>
    <w:r w:rsidR="004779C2" w:rsidRPr="00E45333">
      <w:rPr>
        <w:rFonts w:ascii="標楷體" w:eastAsia="標楷體" w:hAnsi="標楷體" w:cs="Times New Roman" w:hint="eastAsia"/>
        <w:szCs w:val="24"/>
      </w:rPr>
      <w:t xml:space="preserve">                                                                  </w:t>
    </w:r>
    <w:r w:rsidR="004779C2" w:rsidRPr="004203A5">
      <w:rPr>
        <w:rFonts w:ascii="Times New Roman" w:hAnsi="Times New Roman" w:cs="Times New Roman"/>
        <w:szCs w:val="24"/>
      </w:rPr>
      <w:fldChar w:fldCharType="begin"/>
    </w:r>
    <w:r w:rsidR="004779C2" w:rsidRPr="004203A5">
      <w:rPr>
        <w:rFonts w:ascii="Times New Roman" w:hAnsi="Times New Roman" w:cs="Times New Roman"/>
        <w:szCs w:val="24"/>
      </w:rPr>
      <w:instrText>PAGE   \* MERGEFORMAT</w:instrText>
    </w:r>
    <w:r w:rsidR="004779C2" w:rsidRPr="004203A5">
      <w:rPr>
        <w:rFonts w:ascii="Times New Roman" w:hAnsi="Times New Roman" w:cs="Times New Roman"/>
        <w:szCs w:val="24"/>
      </w:rPr>
      <w:fldChar w:fldCharType="separate"/>
    </w:r>
    <w:r w:rsidRPr="002303F9">
      <w:rPr>
        <w:rFonts w:ascii="Times New Roman" w:hAnsi="Times New Roman" w:cs="Times New Roman"/>
        <w:noProof/>
        <w:szCs w:val="24"/>
        <w:lang w:val="zh-TW"/>
      </w:rPr>
      <w:t>1</w:t>
    </w:r>
    <w:r w:rsidR="004779C2" w:rsidRPr="004203A5">
      <w:rPr>
        <w:rFonts w:ascii="Times New Roman" w:hAnsi="Times New Roman" w:cs="Times New Roman"/>
        <w:szCs w:val="24"/>
      </w:rPr>
      <w:fldChar w:fldCharType="end"/>
    </w:r>
    <w:r w:rsidR="004779C2" w:rsidRPr="00E45333">
      <w:rPr>
        <w:rFonts w:ascii="標楷體" w:eastAsia="標楷體" w:hAnsi="標楷體" w:cs="Times New Roman" w:hint="eastAsia"/>
        <w:szCs w:val="24"/>
      </w:rPr>
      <w:t xml:space="preserve">           </w:t>
    </w:r>
    <w:r w:rsidR="004779C2">
      <w:rPr>
        <w:rFonts w:ascii="標楷體" w:eastAsia="標楷體" w:hAnsi="標楷體" w:cs="Times New Roman" w:hint="eastAsia"/>
        <w:szCs w:val="24"/>
      </w:rPr>
      <w:t xml:space="preserve">                     </w:t>
    </w:r>
    <w:r w:rsidR="004779C2" w:rsidRPr="00E45333">
      <w:rPr>
        <w:rFonts w:ascii="標楷體" w:eastAsia="標楷體" w:hAnsi="標楷體" w:cs="Times New Roman" w:hint="eastAsia"/>
        <w:szCs w:val="24"/>
      </w:rPr>
      <w:t xml:space="preserve">           </w:t>
    </w:r>
    <w:r w:rsidR="004779C2">
      <w:rPr>
        <w:rFonts w:ascii="標楷體" w:eastAsia="標楷體" w:hAnsi="標楷體" w:cs="Times New Roman" w:hint="eastAsia"/>
        <w:szCs w:val="24"/>
      </w:rPr>
      <w:t xml:space="preserve">   </w:t>
    </w:r>
    <w:r w:rsidR="004779C2" w:rsidRPr="00E45333">
      <w:rPr>
        <w:rFonts w:ascii="標楷體" w:eastAsia="標楷體" w:hAnsi="標楷體" w:cs="Times New Roman" w:hint="eastAsia"/>
        <w:szCs w:val="24"/>
      </w:rPr>
      <w:t>中華民國期貨業商業同業公會</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C2" w:rsidRPr="00E45333" w:rsidRDefault="002303F9" w:rsidP="00E45333">
    <w:pPr>
      <w:pStyle w:val="a5"/>
      <w:ind w:rightChars="-300" w:right="-720" w:firstLine="0"/>
      <w:rPr>
        <w:rFonts w:ascii="Arial" w:eastAsia="標楷體" w:hAnsi="Arial" w:cs="Times New Roman"/>
        <w:szCs w:val="24"/>
      </w:rPr>
    </w:pPr>
    <w:sdt>
      <w:sdtPr>
        <w:id w:val="1672981151"/>
        <w:docPartObj>
          <w:docPartGallery w:val="Page Numbers (Bottom of Page)"/>
          <w:docPartUnique/>
        </w:docPartObj>
      </w:sdtPr>
      <w:sdtEndPr>
        <w:rPr>
          <w:rFonts w:ascii="Arial" w:eastAsia="標楷體" w:hAnsi="Arial" w:cs="Times New Roman"/>
          <w:szCs w:val="24"/>
        </w:rPr>
      </w:sdtEndPr>
      <w:sdtContent>
        <w:r w:rsidR="004779C2" w:rsidRPr="000C36E1">
          <w:rPr>
            <w:rFonts w:ascii="Times New Roman" w:eastAsia="標楷體" w:hAnsi="Times New Roman" w:hint="eastAsia"/>
          </w:rPr>
          <w:t>11</w:t>
        </w:r>
        <w:r w:rsidR="004779C2" w:rsidRPr="00142C68">
          <w:rPr>
            <w:rFonts w:ascii="Times New Roman" w:eastAsia="標楷體" w:hAnsi="Times New Roman" w:cs="Times New Roman"/>
          </w:rPr>
          <w:t>1</w:t>
        </w:r>
        <w:r w:rsidR="004779C2" w:rsidRPr="000C36E1">
          <w:rPr>
            <w:rFonts w:ascii="Times New Roman" w:eastAsia="標楷體" w:hAnsi="Times New Roman" w:hint="eastAsia"/>
          </w:rPr>
          <w:t>年</w:t>
        </w:r>
        <w:r w:rsidR="00BA5538" w:rsidRPr="00BA5538">
          <w:rPr>
            <w:rFonts w:ascii="Times New Roman" w:eastAsia="標楷體" w:hAnsi="Times New Roman" w:cs="Times New Roman"/>
          </w:rPr>
          <w:t>6</w:t>
        </w:r>
        <w:r w:rsidR="004779C2" w:rsidRPr="000C36E1">
          <w:rPr>
            <w:rFonts w:ascii="Times New Roman" w:eastAsia="標楷體" w:hAnsi="Times New Roman" w:hint="eastAsia"/>
          </w:rPr>
          <w:t>月</w:t>
        </w:r>
        <w:r w:rsidR="004779C2" w:rsidRPr="00E45333">
          <w:rPr>
            <w:rFonts w:ascii="Arial" w:eastAsia="標楷體" w:hAnsi="Arial" w:hint="eastAsia"/>
          </w:rPr>
          <w:t xml:space="preserve">                                                        </w:t>
        </w:r>
        <w:r w:rsidR="004779C2" w:rsidRPr="004203A5">
          <w:rPr>
            <w:rFonts w:ascii="Times New Roman" w:hAnsi="Times New Roman" w:cs="Times New Roman"/>
            <w:szCs w:val="24"/>
          </w:rPr>
          <w:fldChar w:fldCharType="begin"/>
        </w:r>
        <w:r w:rsidR="004779C2" w:rsidRPr="004203A5">
          <w:rPr>
            <w:rFonts w:ascii="Times New Roman" w:hAnsi="Times New Roman" w:cs="Times New Roman"/>
            <w:szCs w:val="24"/>
          </w:rPr>
          <w:instrText>PAGE   \* MERGEFORMAT</w:instrText>
        </w:r>
        <w:r w:rsidR="004779C2" w:rsidRPr="004203A5">
          <w:rPr>
            <w:rFonts w:ascii="Times New Roman" w:hAnsi="Times New Roman" w:cs="Times New Roman"/>
            <w:szCs w:val="24"/>
          </w:rPr>
          <w:fldChar w:fldCharType="separate"/>
        </w:r>
        <w:r w:rsidR="00BA5538" w:rsidRPr="00BA5538">
          <w:rPr>
            <w:rFonts w:ascii="Times New Roman" w:hAnsi="Times New Roman" w:cs="Times New Roman"/>
            <w:noProof/>
            <w:szCs w:val="24"/>
            <w:lang w:val="zh-TW"/>
          </w:rPr>
          <w:t>2</w:t>
        </w:r>
        <w:r w:rsidR="004779C2" w:rsidRPr="004203A5">
          <w:rPr>
            <w:rFonts w:ascii="Times New Roman" w:hAnsi="Times New Roman" w:cs="Times New Roman"/>
            <w:szCs w:val="24"/>
          </w:rPr>
          <w:fldChar w:fldCharType="end"/>
        </w:r>
        <w:r w:rsidR="004779C2" w:rsidRPr="00E45333">
          <w:rPr>
            <w:rFonts w:ascii="Arial" w:eastAsia="標楷體" w:hAnsi="Arial" w:hint="eastAsia"/>
          </w:rPr>
          <w:t xml:space="preserve">                                     </w:t>
        </w:r>
        <w:r w:rsidR="004779C2">
          <w:rPr>
            <w:rFonts w:ascii="Arial" w:eastAsia="標楷體" w:hAnsi="Arial" w:hint="eastAsia"/>
          </w:rPr>
          <w:t xml:space="preserve">            </w:t>
        </w:r>
      </w:sdtContent>
    </w:sdt>
    <w:r w:rsidR="004779C2">
      <w:rPr>
        <w:rFonts w:ascii="Arial" w:eastAsia="標楷體" w:hAnsi="Arial" w:cs="Times New Roman" w:hint="eastAsia"/>
        <w:szCs w:val="24"/>
      </w:rPr>
      <w:t>中華民國期貨業商業同業公會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F9" w:rsidRDefault="002303F9" w:rsidP="00E45333">
      <w:r>
        <w:separator/>
      </w:r>
    </w:p>
  </w:footnote>
  <w:footnote w:type="continuationSeparator" w:id="0">
    <w:p w:rsidR="002303F9" w:rsidRDefault="002303F9" w:rsidP="00E45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475"/>
    <w:multiLevelType w:val="multilevel"/>
    <w:tmpl w:val="C714E83A"/>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8EA1DA6"/>
    <w:multiLevelType w:val="hybridMultilevel"/>
    <w:tmpl w:val="5038FEA8"/>
    <w:lvl w:ilvl="0" w:tplc="FD5403C2">
      <w:start w:val="1"/>
      <w:numFmt w:val="taiwaneseCountingThousand"/>
      <w:suff w:val="nothing"/>
      <w:lvlText w:val="%1、"/>
      <w:lvlJc w:val="left"/>
      <w:pPr>
        <w:ind w:left="480" w:hanging="480"/>
      </w:pPr>
      <w:rPr>
        <w:rFonts w:ascii="標楷體" w:eastAsia="標楷體" w:hint="eastAsia"/>
        <w:color w:val="0000FF"/>
        <w:u w:val="single"/>
      </w:rPr>
    </w:lvl>
    <w:lvl w:ilvl="1" w:tplc="7A06CA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6A5466"/>
    <w:multiLevelType w:val="hybridMultilevel"/>
    <w:tmpl w:val="B11E487C"/>
    <w:lvl w:ilvl="0" w:tplc="2180A5E6">
      <w:start w:val="1"/>
      <w:numFmt w:val="decimal"/>
      <w:lvlText w:val="%1."/>
      <w:lvlJc w:val="left"/>
      <w:pPr>
        <w:tabs>
          <w:tab w:val="num" w:pos="508"/>
        </w:tabs>
        <w:ind w:left="508" w:hanging="480"/>
      </w:pPr>
      <w:rPr>
        <w:color w:val="0000FF"/>
        <w:u w:val="single"/>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3" w15:restartNumberingAfterBreak="0">
    <w:nsid w:val="19480F61"/>
    <w:multiLevelType w:val="hybridMultilevel"/>
    <w:tmpl w:val="B11E487C"/>
    <w:lvl w:ilvl="0" w:tplc="2180A5E6">
      <w:start w:val="1"/>
      <w:numFmt w:val="decimal"/>
      <w:lvlText w:val="%1."/>
      <w:lvlJc w:val="left"/>
      <w:pPr>
        <w:tabs>
          <w:tab w:val="num" w:pos="508"/>
        </w:tabs>
        <w:ind w:left="508" w:hanging="480"/>
      </w:pPr>
      <w:rPr>
        <w:color w:val="0000FF"/>
        <w:u w:val="single"/>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4" w15:restartNumberingAfterBreak="0">
    <w:nsid w:val="1DBC6D0D"/>
    <w:multiLevelType w:val="hybridMultilevel"/>
    <w:tmpl w:val="B11E487C"/>
    <w:lvl w:ilvl="0" w:tplc="2180A5E6">
      <w:start w:val="1"/>
      <w:numFmt w:val="decimal"/>
      <w:lvlText w:val="%1."/>
      <w:lvlJc w:val="left"/>
      <w:pPr>
        <w:tabs>
          <w:tab w:val="num" w:pos="508"/>
        </w:tabs>
        <w:ind w:left="508" w:hanging="480"/>
      </w:pPr>
      <w:rPr>
        <w:color w:val="0000FF"/>
        <w:u w:val="single"/>
      </w:rPr>
    </w:lvl>
    <w:lvl w:ilvl="1" w:tplc="04090019">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5" w15:restartNumberingAfterBreak="0">
    <w:nsid w:val="2AFD5CDB"/>
    <w:multiLevelType w:val="multilevel"/>
    <w:tmpl w:val="398AED8E"/>
    <w:lvl w:ilvl="0">
      <w:start w:val="1"/>
      <w:numFmt w:val="taiwaneseCountingThousand"/>
      <w:lvlText w:val="%1、"/>
      <w:lvlJc w:val="left"/>
      <w:pPr>
        <w:tabs>
          <w:tab w:val="num" w:pos="567"/>
        </w:tabs>
        <w:ind w:left="567" w:hanging="567"/>
      </w:pPr>
      <w:rPr>
        <w:rFonts w:eastAsia="標楷體" w:hint="eastAsia"/>
        <w:b w:val="0"/>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6" w15:restartNumberingAfterBreak="0">
    <w:nsid w:val="2B2E37A5"/>
    <w:multiLevelType w:val="multilevel"/>
    <w:tmpl w:val="42064312"/>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7" w15:restartNumberingAfterBreak="0">
    <w:nsid w:val="2D524F7D"/>
    <w:multiLevelType w:val="hybridMultilevel"/>
    <w:tmpl w:val="777A067E"/>
    <w:lvl w:ilvl="0" w:tplc="62AA8508">
      <w:start w:val="1"/>
      <w:numFmt w:val="taiwaneseCountingThousand"/>
      <w:suff w:val="nothing"/>
      <w:lvlText w:val="%1、"/>
      <w:lvlJc w:val="left"/>
      <w:pPr>
        <w:ind w:left="480" w:hanging="480"/>
      </w:pPr>
      <w:rPr>
        <w:rFonts w:ascii="標楷體" w:eastAsia="標楷體" w:hint="eastAsia"/>
        <w:b w:val="0"/>
        <w:color w:val="0000FF"/>
        <w:u w:val="single"/>
        <w:lang w:val="en-US"/>
      </w:rPr>
    </w:lvl>
    <w:lvl w:ilvl="1" w:tplc="7A06CA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C56E0F"/>
    <w:multiLevelType w:val="hybridMultilevel"/>
    <w:tmpl w:val="5038FEA8"/>
    <w:lvl w:ilvl="0" w:tplc="FD5403C2">
      <w:start w:val="1"/>
      <w:numFmt w:val="taiwaneseCountingThousand"/>
      <w:suff w:val="nothing"/>
      <w:lvlText w:val="%1、"/>
      <w:lvlJc w:val="left"/>
      <w:pPr>
        <w:ind w:left="480" w:hanging="480"/>
      </w:pPr>
      <w:rPr>
        <w:rFonts w:ascii="標楷體" w:eastAsia="標楷體" w:hint="eastAsia"/>
        <w:color w:val="0000FF"/>
        <w:u w:val="single"/>
      </w:rPr>
    </w:lvl>
    <w:lvl w:ilvl="1" w:tplc="7A06CA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BA7D0E"/>
    <w:multiLevelType w:val="hybridMultilevel"/>
    <w:tmpl w:val="C2B2DF54"/>
    <w:lvl w:ilvl="0" w:tplc="833AEDBC">
      <w:start w:val="1"/>
      <w:numFmt w:val="taiwaneseCountingThousand"/>
      <w:lvlText w:val="%1、"/>
      <w:lvlJc w:val="left"/>
      <w:pPr>
        <w:tabs>
          <w:tab w:val="num" w:pos="624"/>
        </w:tabs>
        <w:ind w:left="624"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554C4F"/>
    <w:multiLevelType w:val="hybridMultilevel"/>
    <w:tmpl w:val="BEBCD9DA"/>
    <w:lvl w:ilvl="0" w:tplc="FBEACDC6">
      <w:start w:val="1"/>
      <w:numFmt w:val="taiwaneseCountingThousand"/>
      <w:suff w:val="nothing"/>
      <w:lvlText w:val="%1、"/>
      <w:lvlJc w:val="left"/>
      <w:pPr>
        <w:ind w:left="480" w:hanging="480"/>
      </w:pPr>
      <w:rPr>
        <w:rFonts w:ascii="標楷體" w:eastAsia="標楷體" w:hint="eastAsia"/>
        <w:color w:val="auto"/>
        <w:u w:val="none"/>
      </w:rPr>
    </w:lvl>
    <w:lvl w:ilvl="1" w:tplc="7A06CA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97D9C"/>
    <w:multiLevelType w:val="hybridMultilevel"/>
    <w:tmpl w:val="4710942C"/>
    <w:lvl w:ilvl="0" w:tplc="BFCCB0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9931D0"/>
    <w:multiLevelType w:val="hybridMultilevel"/>
    <w:tmpl w:val="1082A530"/>
    <w:lvl w:ilvl="0" w:tplc="F8E63F94">
      <w:start w:val="1"/>
      <w:numFmt w:val="decimal"/>
      <w:lvlText w:val="%1."/>
      <w:lvlJc w:val="left"/>
      <w:pPr>
        <w:tabs>
          <w:tab w:val="num" w:pos="1474"/>
        </w:tabs>
        <w:ind w:left="1474" w:hanging="283"/>
      </w:pPr>
      <w:rPr>
        <w:rFonts w:ascii="Arial" w:eastAsia="標楷體" w:hAnsi="Arial" w:hint="default"/>
        <w:b w:val="0"/>
        <w:i w:val="0"/>
        <w:sz w:val="24"/>
        <w:szCs w:val="24"/>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3" w15:restartNumberingAfterBreak="0">
    <w:nsid w:val="6BCF298C"/>
    <w:multiLevelType w:val="hybridMultilevel"/>
    <w:tmpl w:val="ECCE4A6A"/>
    <w:lvl w:ilvl="0" w:tplc="C8ACF84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037C70"/>
    <w:multiLevelType w:val="multilevel"/>
    <w:tmpl w:val="4D4A8A90"/>
    <w:lvl w:ilvl="0">
      <w:start w:val="1"/>
      <w:numFmt w:val="taiwaneseCountingThousand"/>
      <w:pStyle w:val="1"/>
      <w:lvlText w:val="%1、"/>
      <w:lvlJc w:val="left"/>
      <w:pPr>
        <w:tabs>
          <w:tab w:val="num" w:pos="624"/>
        </w:tabs>
        <w:ind w:left="624" w:hanging="624"/>
      </w:pPr>
      <w:rPr>
        <w:rFonts w:eastAsia="標楷體" w:hint="eastAsia"/>
        <w:b w:val="0"/>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5" w15:restartNumberingAfterBreak="0">
    <w:nsid w:val="71495963"/>
    <w:multiLevelType w:val="multilevel"/>
    <w:tmpl w:val="F0F21E04"/>
    <w:lvl w:ilvl="0">
      <w:start w:val="1"/>
      <w:numFmt w:val="taiwaneseCountingThousand"/>
      <w:suff w:val="nothing"/>
      <w:lvlText w:val="%1、"/>
      <w:lvlJc w:val="left"/>
      <w:pPr>
        <w:ind w:left="425" w:hanging="425"/>
      </w:pPr>
      <w:rPr>
        <w:rFonts w:eastAsia="標楷體" w:hint="eastAsia"/>
        <w:b/>
        <w:i w:val="0"/>
        <w:sz w:val="24"/>
        <w:szCs w:val="24"/>
      </w:rPr>
    </w:lvl>
    <w:lvl w:ilvl="1">
      <w:start w:val="1"/>
      <w:numFmt w:val="taiwaneseCountingThousand"/>
      <w:lvlText w:val="(%2)."/>
      <w:lvlJc w:val="left"/>
      <w:pPr>
        <w:tabs>
          <w:tab w:val="num" w:pos="1191"/>
        </w:tabs>
        <w:ind w:left="1191" w:hanging="567"/>
      </w:pPr>
      <w:rPr>
        <w:rFonts w:ascii="Arial" w:eastAsia="標楷體" w:hAnsi="Arial" w:hint="default"/>
        <w:b w:val="0"/>
        <w:i w:val="0"/>
        <w:sz w:val="24"/>
        <w:szCs w:val="24"/>
      </w:rPr>
    </w:lvl>
    <w:lvl w:ilvl="2">
      <w:start w:val="1"/>
      <w:numFmt w:val="none"/>
      <w:suff w:val="nothing"/>
      <w:lvlText w:val="1."/>
      <w:lvlJc w:val="left"/>
      <w:pPr>
        <w:ind w:left="1418" w:hanging="567"/>
      </w:pPr>
      <w:rPr>
        <w:rFonts w:ascii="Arial" w:eastAsia="標楷體" w:hAnsi="Arial" w:hint="default"/>
        <w:sz w:val="22"/>
        <w:szCs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num w:numId="1">
    <w:abstractNumId w:val="6"/>
  </w:num>
  <w:num w:numId="2">
    <w:abstractNumId w:val="12"/>
  </w:num>
  <w:num w:numId="3">
    <w:abstractNumId w:val="14"/>
  </w:num>
  <w:num w:numId="4">
    <w:abstractNumId w:val="0"/>
  </w:num>
  <w:num w:numId="5">
    <w:abstractNumId w:val="9"/>
  </w:num>
  <w:num w:numId="6">
    <w:abstractNumId w:val="5"/>
  </w:num>
  <w:num w:numId="7">
    <w:abstractNumId w:val="15"/>
  </w:num>
  <w:num w:numId="8">
    <w:abstractNumId w:val="4"/>
  </w:num>
  <w:num w:numId="9">
    <w:abstractNumId w:val="1"/>
  </w:num>
  <w:num w:numId="10">
    <w:abstractNumId w:val="13"/>
  </w:num>
  <w:num w:numId="11">
    <w:abstractNumId w:val="11"/>
  </w:num>
  <w:num w:numId="12">
    <w:abstractNumId w:val="10"/>
  </w:num>
  <w:num w:numId="13">
    <w:abstractNumId w:val="7"/>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D1"/>
    <w:rsid w:val="00006935"/>
    <w:rsid w:val="00010794"/>
    <w:rsid w:val="00022549"/>
    <w:rsid w:val="000231D6"/>
    <w:rsid w:val="0003247E"/>
    <w:rsid w:val="00035486"/>
    <w:rsid w:val="00035DD1"/>
    <w:rsid w:val="000431F5"/>
    <w:rsid w:val="00044346"/>
    <w:rsid w:val="00045741"/>
    <w:rsid w:val="00057AD8"/>
    <w:rsid w:val="0007329D"/>
    <w:rsid w:val="00090F88"/>
    <w:rsid w:val="000A18F7"/>
    <w:rsid w:val="000A56B2"/>
    <w:rsid w:val="000B2467"/>
    <w:rsid w:val="000B4A53"/>
    <w:rsid w:val="000C3517"/>
    <w:rsid w:val="000C36E1"/>
    <w:rsid w:val="000D388F"/>
    <w:rsid w:val="000E4F0D"/>
    <w:rsid w:val="000F1ABD"/>
    <w:rsid w:val="000F24D6"/>
    <w:rsid w:val="00105B11"/>
    <w:rsid w:val="001228D8"/>
    <w:rsid w:val="00122CAA"/>
    <w:rsid w:val="00130CFC"/>
    <w:rsid w:val="00136522"/>
    <w:rsid w:val="00142C68"/>
    <w:rsid w:val="00165D1C"/>
    <w:rsid w:val="0018127C"/>
    <w:rsid w:val="00194CC1"/>
    <w:rsid w:val="001C21D7"/>
    <w:rsid w:val="001C6FB6"/>
    <w:rsid w:val="001D1393"/>
    <w:rsid w:val="001D20F2"/>
    <w:rsid w:val="001E1196"/>
    <w:rsid w:val="001E274D"/>
    <w:rsid w:val="001F2EC0"/>
    <w:rsid w:val="001F76A5"/>
    <w:rsid w:val="001F79F5"/>
    <w:rsid w:val="00204BC7"/>
    <w:rsid w:val="0020726B"/>
    <w:rsid w:val="00210B15"/>
    <w:rsid w:val="002125B0"/>
    <w:rsid w:val="00213C0B"/>
    <w:rsid w:val="0022466A"/>
    <w:rsid w:val="00224E34"/>
    <w:rsid w:val="002270A2"/>
    <w:rsid w:val="002303F9"/>
    <w:rsid w:val="00236E33"/>
    <w:rsid w:val="00236E6E"/>
    <w:rsid w:val="002377EA"/>
    <w:rsid w:val="0024529D"/>
    <w:rsid w:val="0026047F"/>
    <w:rsid w:val="00266988"/>
    <w:rsid w:val="00267A04"/>
    <w:rsid w:val="002705B1"/>
    <w:rsid w:val="00270A5F"/>
    <w:rsid w:val="002716B6"/>
    <w:rsid w:val="002805B3"/>
    <w:rsid w:val="0028089B"/>
    <w:rsid w:val="00286A24"/>
    <w:rsid w:val="00287260"/>
    <w:rsid w:val="00287531"/>
    <w:rsid w:val="00287556"/>
    <w:rsid w:val="0029668D"/>
    <w:rsid w:val="002A5F48"/>
    <w:rsid w:val="002B378E"/>
    <w:rsid w:val="002C5E9B"/>
    <w:rsid w:val="002D5B28"/>
    <w:rsid w:val="002F0C96"/>
    <w:rsid w:val="00306657"/>
    <w:rsid w:val="00311F1C"/>
    <w:rsid w:val="003158D9"/>
    <w:rsid w:val="00323D68"/>
    <w:rsid w:val="00325622"/>
    <w:rsid w:val="00340B11"/>
    <w:rsid w:val="003506A5"/>
    <w:rsid w:val="00353F1F"/>
    <w:rsid w:val="0037410D"/>
    <w:rsid w:val="00380035"/>
    <w:rsid w:val="0038190F"/>
    <w:rsid w:val="00384A08"/>
    <w:rsid w:val="00384E06"/>
    <w:rsid w:val="003870D0"/>
    <w:rsid w:val="00390EFD"/>
    <w:rsid w:val="003C0DE4"/>
    <w:rsid w:val="003C0E45"/>
    <w:rsid w:val="003C1FE4"/>
    <w:rsid w:val="003D310A"/>
    <w:rsid w:val="004106E2"/>
    <w:rsid w:val="00414B7B"/>
    <w:rsid w:val="00426C7F"/>
    <w:rsid w:val="00436ACF"/>
    <w:rsid w:val="00445DE0"/>
    <w:rsid w:val="00464CF0"/>
    <w:rsid w:val="004779C2"/>
    <w:rsid w:val="004815E3"/>
    <w:rsid w:val="004875FD"/>
    <w:rsid w:val="00495098"/>
    <w:rsid w:val="004B7EB2"/>
    <w:rsid w:val="004C724E"/>
    <w:rsid w:val="004D0255"/>
    <w:rsid w:val="004D2E46"/>
    <w:rsid w:val="004E3A37"/>
    <w:rsid w:val="004F0296"/>
    <w:rsid w:val="004F2D34"/>
    <w:rsid w:val="005111EB"/>
    <w:rsid w:val="0052024B"/>
    <w:rsid w:val="005253CA"/>
    <w:rsid w:val="00530D64"/>
    <w:rsid w:val="00533E59"/>
    <w:rsid w:val="00551432"/>
    <w:rsid w:val="00571E1D"/>
    <w:rsid w:val="00585D89"/>
    <w:rsid w:val="00593051"/>
    <w:rsid w:val="00594DC6"/>
    <w:rsid w:val="005A7BD6"/>
    <w:rsid w:val="005B2B80"/>
    <w:rsid w:val="005C4CBF"/>
    <w:rsid w:val="005C5F20"/>
    <w:rsid w:val="005D4119"/>
    <w:rsid w:val="005F23A1"/>
    <w:rsid w:val="00600F6F"/>
    <w:rsid w:val="006047F3"/>
    <w:rsid w:val="00604B35"/>
    <w:rsid w:val="00604EA3"/>
    <w:rsid w:val="00605CA8"/>
    <w:rsid w:val="00611E04"/>
    <w:rsid w:val="006275A3"/>
    <w:rsid w:val="006335E0"/>
    <w:rsid w:val="00635A4D"/>
    <w:rsid w:val="00640578"/>
    <w:rsid w:val="0064291D"/>
    <w:rsid w:val="00643BCE"/>
    <w:rsid w:val="00660FEE"/>
    <w:rsid w:val="00661B02"/>
    <w:rsid w:val="00662043"/>
    <w:rsid w:val="00664077"/>
    <w:rsid w:val="00664431"/>
    <w:rsid w:val="00665692"/>
    <w:rsid w:val="00666264"/>
    <w:rsid w:val="00671428"/>
    <w:rsid w:val="00673E0F"/>
    <w:rsid w:val="00674CD4"/>
    <w:rsid w:val="00680CEC"/>
    <w:rsid w:val="00692F91"/>
    <w:rsid w:val="00697309"/>
    <w:rsid w:val="006A6957"/>
    <w:rsid w:val="006A6C6F"/>
    <w:rsid w:val="006B1D58"/>
    <w:rsid w:val="006B2782"/>
    <w:rsid w:val="006C37D6"/>
    <w:rsid w:val="006C3D95"/>
    <w:rsid w:val="006C507C"/>
    <w:rsid w:val="006C540E"/>
    <w:rsid w:val="006E3493"/>
    <w:rsid w:val="006E6FEF"/>
    <w:rsid w:val="006F6046"/>
    <w:rsid w:val="0071004E"/>
    <w:rsid w:val="00711E02"/>
    <w:rsid w:val="0071460F"/>
    <w:rsid w:val="00717F99"/>
    <w:rsid w:val="00735483"/>
    <w:rsid w:val="00746746"/>
    <w:rsid w:val="007475C4"/>
    <w:rsid w:val="007603D2"/>
    <w:rsid w:val="007641C7"/>
    <w:rsid w:val="007664E4"/>
    <w:rsid w:val="0077409B"/>
    <w:rsid w:val="00785FDE"/>
    <w:rsid w:val="00795527"/>
    <w:rsid w:val="007A24E4"/>
    <w:rsid w:val="007A264B"/>
    <w:rsid w:val="007B162E"/>
    <w:rsid w:val="007C42D6"/>
    <w:rsid w:val="007C499E"/>
    <w:rsid w:val="007C4B57"/>
    <w:rsid w:val="007E5699"/>
    <w:rsid w:val="00802D82"/>
    <w:rsid w:val="008075C7"/>
    <w:rsid w:val="00810E43"/>
    <w:rsid w:val="0081240B"/>
    <w:rsid w:val="00815D23"/>
    <w:rsid w:val="0082657D"/>
    <w:rsid w:val="00830E04"/>
    <w:rsid w:val="0083424D"/>
    <w:rsid w:val="00840826"/>
    <w:rsid w:val="008520D4"/>
    <w:rsid w:val="00854247"/>
    <w:rsid w:val="0087773B"/>
    <w:rsid w:val="00886126"/>
    <w:rsid w:val="008A2892"/>
    <w:rsid w:val="008A40EC"/>
    <w:rsid w:val="008A4AF5"/>
    <w:rsid w:val="008A6478"/>
    <w:rsid w:val="008D6392"/>
    <w:rsid w:val="008E3E06"/>
    <w:rsid w:val="008E6945"/>
    <w:rsid w:val="008F532D"/>
    <w:rsid w:val="00927BBB"/>
    <w:rsid w:val="00933205"/>
    <w:rsid w:val="00936F23"/>
    <w:rsid w:val="0094344C"/>
    <w:rsid w:val="00961654"/>
    <w:rsid w:val="009635D8"/>
    <w:rsid w:val="009702AA"/>
    <w:rsid w:val="00977503"/>
    <w:rsid w:val="009847F3"/>
    <w:rsid w:val="009A09EF"/>
    <w:rsid w:val="009B1916"/>
    <w:rsid w:val="009B4748"/>
    <w:rsid w:val="009B64B3"/>
    <w:rsid w:val="009C6516"/>
    <w:rsid w:val="009D092E"/>
    <w:rsid w:val="009D164E"/>
    <w:rsid w:val="009E1F94"/>
    <w:rsid w:val="009E45F3"/>
    <w:rsid w:val="009E6F5F"/>
    <w:rsid w:val="009F1551"/>
    <w:rsid w:val="00A05B44"/>
    <w:rsid w:val="00A11701"/>
    <w:rsid w:val="00A153AB"/>
    <w:rsid w:val="00A46B80"/>
    <w:rsid w:val="00A533D9"/>
    <w:rsid w:val="00A643BE"/>
    <w:rsid w:val="00A667C5"/>
    <w:rsid w:val="00A70F68"/>
    <w:rsid w:val="00A84C1E"/>
    <w:rsid w:val="00A90B0A"/>
    <w:rsid w:val="00A96320"/>
    <w:rsid w:val="00AE4C2B"/>
    <w:rsid w:val="00B01518"/>
    <w:rsid w:val="00B1507C"/>
    <w:rsid w:val="00B15AF1"/>
    <w:rsid w:val="00B2551C"/>
    <w:rsid w:val="00B34E72"/>
    <w:rsid w:val="00B404A5"/>
    <w:rsid w:val="00B4565E"/>
    <w:rsid w:val="00B4597B"/>
    <w:rsid w:val="00B70C93"/>
    <w:rsid w:val="00B8560B"/>
    <w:rsid w:val="00BA5538"/>
    <w:rsid w:val="00BA583F"/>
    <w:rsid w:val="00BC1320"/>
    <w:rsid w:val="00BC2DC5"/>
    <w:rsid w:val="00BD2DB0"/>
    <w:rsid w:val="00BD3674"/>
    <w:rsid w:val="00BE730C"/>
    <w:rsid w:val="00BE7882"/>
    <w:rsid w:val="00BF0D93"/>
    <w:rsid w:val="00C049FF"/>
    <w:rsid w:val="00C25A67"/>
    <w:rsid w:val="00C25D1C"/>
    <w:rsid w:val="00C2787A"/>
    <w:rsid w:val="00C33A0C"/>
    <w:rsid w:val="00C53903"/>
    <w:rsid w:val="00C66437"/>
    <w:rsid w:val="00C91BF7"/>
    <w:rsid w:val="00CB2701"/>
    <w:rsid w:val="00CC719A"/>
    <w:rsid w:val="00CD327E"/>
    <w:rsid w:val="00CE2DDD"/>
    <w:rsid w:val="00CE6D12"/>
    <w:rsid w:val="00CE7FB6"/>
    <w:rsid w:val="00CF5251"/>
    <w:rsid w:val="00D11234"/>
    <w:rsid w:val="00D269D3"/>
    <w:rsid w:val="00D31F6D"/>
    <w:rsid w:val="00D43758"/>
    <w:rsid w:val="00D456EE"/>
    <w:rsid w:val="00D620FB"/>
    <w:rsid w:val="00D7028C"/>
    <w:rsid w:val="00D73D75"/>
    <w:rsid w:val="00DA3997"/>
    <w:rsid w:val="00DA7A41"/>
    <w:rsid w:val="00DB1E51"/>
    <w:rsid w:val="00DD1B3A"/>
    <w:rsid w:val="00DE36C4"/>
    <w:rsid w:val="00DF1447"/>
    <w:rsid w:val="00DF3735"/>
    <w:rsid w:val="00DF468F"/>
    <w:rsid w:val="00E03F2B"/>
    <w:rsid w:val="00E146CB"/>
    <w:rsid w:val="00E17054"/>
    <w:rsid w:val="00E204AE"/>
    <w:rsid w:val="00E33924"/>
    <w:rsid w:val="00E45333"/>
    <w:rsid w:val="00E45416"/>
    <w:rsid w:val="00E6196F"/>
    <w:rsid w:val="00E62B13"/>
    <w:rsid w:val="00E96F14"/>
    <w:rsid w:val="00EA08F3"/>
    <w:rsid w:val="00EA5680"/>
    <w:rsid w:val="00EB3F7C"/>
    <w:rsid w:val="00EB7CEE"/>
    <w:rsid w:val="00EC09DE"/>
    <w:rsid w:val="00EC4067"/>
    <w:rsid w:val="00EE20A3"/>
    <w:rsid w:val="00EE4623"/>
    <w:rsid w:val="00EF23F9"/>
    <w:rsid w:val="00EF2B37"/>
    <w:rsid w:val="00F17496"/>
    <w:rsid w:val="00F306B3"/>
    <w:rsid w:val="00F4000D"/>
    <w:rsid w:val="00F448F0"/>
    <w:rsid w:val="00F47449"/>
    <w:rsid w:val="00F54B50"/>
    <w:rsid w:val="00F730D2"/>
    <w:rsid w:val="00F94AD2"/>
    <w:rsid w:val="00FA3182"/>
    <w:rsid w:val="00FA5AF7"/>
    <w:rsid w:val="00FB4C17"/>
    <w:rsid w:val="00FD3F07"/>
    <w:rsid w:val="00FE518B"/>
    <w:rsid w:val="00FF6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DDAA9-18C9-4D0E-8871-83352BAF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78"/>
    <w:pPr>
      <w:ind w:firstLine="200"/>
    </w:pPr>
    <w:rPr>
      <w:rFonts w:ascii="Papyrus" w:hAnsi="Papyrus"/>
      <w:szCs w:val="24"/>
    </w:rPr>
  </w:style>
  <w:style w:type="paragraph" w:styleId="2">
    <w:name w:val="heading 2"/>
    <w:basedOn w:val="a"/>
    <w:next w:val="a"/>
    <w:link w:val="20"/>
    <w:qFormat/>
    <w:rsid w:val="00E45333"/>
    <w:pPr>
      <w:keepNext/>
      <w:widowControl w:val="0"/>
      <w:snapToGrid w:val="0"/>
      <w:ind w:firstLine="0"/>
      <w:jc w:val="center"/>
      <w:outlineLvl w:val="1"/>
    </w:pPr>
    <w:rPr>
      <w:rFonts w:ascii="Times New Roman" w:eastAsia="標楷體"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333"/>
    <w:pPr>
      <w:tabs>
        <w:tab w:val="center" w:pos="4153"/>
        <w:tab w:val="right" w:pos="8306"/>
      </w:tabs>
      <w:snapToGrid w:val="0"/>
    </w:pPr>
    <w:rPr>
      <w:sz w:val="20"/>
      <w:szCs w:val="20"/>
    </w:rPr>
  </w:style>
  <w:style w:type="character" w:customStyle="1" w:styleId="a4">
    <w:name w:val="頁首 字元"/>
    <w:basedOn w:val="a0"/>
    <w:link w:val="a3"/>
    <w:uiPriority w:val="99"/>
    <w:rsid w:val="00E45333"/>
    <w:rPr>
      <w:sz w:val="20"/>
      <w:szCs w:val="20"/>
    </w:rPr>
  </w:style>
  <w:style w:type="paragraph" w:styleId="a5">
    <w:name w:val="footer"/>
    <w:basedOn w:val="a"/>
    <w:link w:val="a6"/>
    <w:uiPriority w:val="99"/>
    <w:unhideWhenUsed/>
    <w:rsid w:val="00E45333"/>
    <w:pPr>
      <w:tabs>
        <w:tab w:val="center" w:pos="4153"/>
        <w:tab w:val="right" w:pos="8306"/>
      </w:tabs>
      <w:snapToGrid w:val="0"/>
    </w:pPr>
    <w:rPr>
      <w:sz w:val="20"/>
      <w:szCs w:val="20"/>
    </w:rPr>
  </w:style>
  <w:style w:type="character" w:customStyle="1" w:styleId="a6">
    <w:name w:val="頁尾 字元"/>
    <w:basedOn w:val="a0"/>
    <w:link w:val="a5"/>
    <w:uiPriority w:val="99"/>
    <w:rsid w:val="00E45333"/>
    <w:rPr>
      <w:sz w:val="20"/>
      <w:szCs w:val="20"/>
    </w:rPr>
  </w:style>
  <w:style w:type="character" w:customStyle="1" w:styleId="20">
    <w:name w:val="標題 2 字元"/>
    <w:basedOn w:val="a0"/>
    <w:link w:val="2"/>
    <w:rsid w:val="00E45333"/>
    <w:rPr>
      <w:rFonts w:ascii="Times New Roman" w:eastAsia="標楷體" w:hAnsi="Times New Roman" w:cs="Times New Roman"/>
      <w:b/>
      <w:sz w:val="20"/>
      <w:szCs w:val="20"/>
    </w:rPr>
  </w:style>
  <w:style w:type="paragraph" w:styleId="a7">
    <w:name w:val="Balloon Text"/>
    <w:basedOn w:val="a"/>
    <w:link w:val="a8"/>
    <w:uiPriority w:val="99"/>
    <w:semiHidden/>
    <w:unhideWhenUsed/>
    <w:rsid w:val="00E453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5333"/>
    <w:rPr>
      <w:rFonts w:asciiTheme="majorHAnsi" w:eastAsiaTheme="majorEastAsia" w:hAnsiTheme="majorHAnsi" w:cstheme="majorBidi"/>
      <w:sz w:val="18"/>
      <w:szCs w:val="18"/>
    </w:rPr>
  </w:style>
  <w:style w:type="paragraph" w:customStyle="1" w:styleId="a9">
    <w:name w:val="主旨"/>
    <w:basedOn w:val="a"/>
    <w:rsid w:val="00E45333"/>
    <w:pPr>
      <w:widowControl w:val="0"/>
      <w:snapToGrid w:val="0"/>
      <w:ind w:left="964" w:hanging="964"/>
    </w:pPr>
    <w:rPr>
      <w:rFonts w:ascii="Times New Roman" w:eastAsia="標楷體" w:hAnsi="Times New Roman" w:cs="Times New Roman"/>
      <w:sz w:val="32"/>
      <w:szCs w:val="20"/>
    </w:rPr>
  </w:style>
  <w:style w:type="paragraph" w:styleId="HTML">
    <w:name w:val="HTML Preformatted"/>
    <w:basedOn w:val="a"/>
    <w:link w:val="HTML0"/>
    <w:rsid w:val="00E4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細明體" w:eastAsia="細明體" w:hAnsi="細明體" w:cs="Courier New"/>
      <w:kern w:val="0"/>
      <w:sz w:val="20"/>
      <w:szCs w:val="20"/>
    </w:rPr>
  </w:style>
  <w:style w:type="character" w:customStyle="1" w:styleId="HTML0">
    <w:name w:val="HTML 預設格式 字元"/>
    <w:basedOn w:val="a0"/>
    <w:link w:val="HTML"/>
    <w:rsid w:val="00E45333"/>
    <w:rPr>
      <w:rFonts w:ascii="細明體" w:eastAsia="細明體" w:hAnsi="細明體" w:cs="Courier New"/>
      <w:kern w:val="0"/>
      <w:sz w:val="20"/>
      <w:szCs w:val="20"/>
    </w:rPr>
  </w:style>
  <w:style w:type="paragraph" w:styleId="aa">
    <w:name w:val="Body Text Indent"/>
    <w:basedOn w:val="a"/>
    <w:link w:val="ab"/>
    <w:rsid w:val="00E45333"/>
    <w:pPr>
      <w:widowControl w:val="0"/>
      <w:ind w:left="1080" w:hanging="1080"/>
    </w:pPr>
    <w:rPr>
      <w:rFonts w:ascii="華康仿宋體W2" w:eastAsia="華康仿宋體W2" w:hAnsi="Times New Roman" w:cs="Times New Roman"/>
      <w:sz w:val="28"/>
      <w:szCs w:val="20"/>
    </w:rPr>
  </w:style>
  <w:style w:type="character" w:customStyle="1" w:styleId="ab">
    <w:name w:val="本文縮排 字元"/>
    <w:basedOn w:val="a0"/>
    <w:link w:val="aa"/>
    <w:rsid w:val="00E45333"/>
    <w:rPr>
      <w:rFonts w:ascii="華康仿宋體W2" w:eastAsia="華康仿宋體W2" w:hAnsi="Times New Roman" w:cs="Times New Roman"/>
      <w:sz w:val="28"/>
      <w:szCs w:val="20"/>
    </w:rPr>
  </w:style>
  <w:style w:type="character" w:styleId="ac">
    <w:name w:val="Strong"/>
    <w:qFormat/>
    <w:rsid w:val="00E45333"/>
    <w:rPr>
      <w:b/>
      <w:bCs/>
    </w:rPr>
  </w:style>
  <w:style w:type="paragraph" w:styleId="1">
    <w:name w:val="index 1"/>
    <w:basedOn w:val="a"/>
    <w:next w:val="a"/>
    <w:autoRedefine/>
    <w:semiHidden/>
    <w:rsid w:val="00E146CB"/>
    <w:pPr>
      <w:widowControl w:val="0"/>
      <w:numPr>
        <w:numId w:val="3"/>
      </w:numPr>
      <w:spacing w:line="420" w:lineRule="exact"/>
    </w:pPr>
    <w:rPr>
      <w:rFonts w:ascii="標楷體" w:eastAsia="標楷體" w:hAnsi="標楷體" w:cs="Times New Roman"/>
      <w:szCs w:val="20"/>
    </w:rPr>
  </w:style>
  <w:style w:type="paragraph" w:styleId="ad">
    <w:name w:val="List Paragraph"/>
    <w:basedOn w:val="a"/>
    <w:uiPriority w:val="34"/>
    <w:qFormat/>
    <w:rsid w:val="004C72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E890-FD1D-4D2B-83B3-A66EE184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郭仙娟</dc:creator>
  <cp:keywords/>
  <dc:description/>
  <cp:lastModifiedBy>郭仙娟</cp:lastModifiedBy>
  <cp:revision>11</cp:revision>
  <cp:lastPrinted>2022-03-30T07:51:00Z</cp:lastPrinted>
  <dcterms:created xsi:type="dcterms:W3CDTF">2022-04-11T04:02:00Z</dcterms:created>
  <dcterms:modified xsi:type="dcterms:W3CDTF">2022-06-15T02:32:00Z</dcterms:modified>
</cp:coreProperties>
</file>