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72" w:rsidRDefault="00E80472" w:rsidP="00E80472">
      <w:pPr>
        <w:adjustRightInd w:val="0"/>
        <w:snapToGrid w:val="0"/>
        <w:spacing w:afterLines="50" w:after="180" w:line="560" w:lineRule="atLeast"/>
        <w:jc w:val="both"/>
        <w:rPr>
          <w:rFonts w:ascii="Arial" w:eastAsia="標楷體" w:hAnsi="Arial" w:cs="Arial"/>
          <w:sz w:val="30"/>
          <w:szCs w:val="30"/>
        </w:rPr>
      </w:pPr>
      <w:r w:rsidRPr="007E376C">
        <w:rPr>
          <w:rFonts w:ascii="Arial" w:eastAsia="標楷體" w:hAnsi="Arial" w:cs="Arial"/>
          <w:sz w:val="30"/>
          <w:szCs w:val="30"/>
        </w:rPr>
        <w:t>中華民國期貨業商業同業公會期貨服務事業</w:t>
      </w:r>
      <w:r w:rsidRPr="007E376C">
        <w:rPr>
          <w:rFonts w:ascii="Arial" w:eastAsia="標楷體" w:hAnsi="Arial" w:cs="Arial" w:hint="eastAsia"/>
          <w:sz w:val="30"/>
          <w:szCs w:val="30"/>
        </w:rPr>
        <w:t>辦理高齡客戶金融商品或服務適合度評估準則</w:t>
      </w:r>
    </w:p>
    <w:p w:rsidR="00E80472" w:rsidRPr="00F5446C" w:rsidRDefault="00E80472" w:rsidP="00E80472">
      <w:pPr>
        <w:adjustRightInd w:val="0"/>
        <w:snapToGrid w:val="0"/>
        <w:spacing w:line="320" w:lineRule="exact"/>
        <w:jc w:val="right"/>
        <w:rPr>
          <w:rFonts w:ascii="Arial" w:eastAsia="標楷體" w:hAnsi="Arial" w:cs="Arial"/>
          <w:sz w:val="18"/>
          <w:szCs w:val="18"/>
        </w:rPr>
      </w:pPr>
      <w:r w:rsidRPr="00F5446C">
        <w:rPr>
          <w:rFonts w:ascii="Arial" w:eastAsia="標楷體" w:hAnsi="Arial" w:cs="Arial" w:hint="eastAsia"/>
          <w:sz w:val="18"/>
          <w:szCs w:val="18"/>
        </w:rPr>
        <w:t>111</w:t>
      </w:r>
      <w:r w:rsidRPr="00F5446C">
        <w:rPr>
          <w:rFonts w:ascii="Arial" w:eastAsia="標楷體" w:hAnsi="Arial" w:cs="Arial" w:hint="eastAsia"/>
          <w:sz w:val="18"/>
          <w:szCs w:val="18"/>
        </w:rPr>
        <w:t>年</w:t>
      </w:r>
      <w:r>
        <w:rPr>
          <w:rFonts w:ascii="Arial" w:eastAsia="標楷體" w:hAnsi="Arial" w:cs="Arial" w:hint="eastAsia"/>
          <w:sz w:val="18"/>
          <w:szCs w:val="18"/>
        </w:rPr>
        <w:t>6</w:t>
      </w:r>
      <w:r w:rsidRPr="00F5446C">
        <w:rPr>
          <w:rFonts w:ascii="Arial" w:eastAsia="標楷體" w:hAnsi="Arial" w:cs="Arial" w:hint="eastAsia"/>
          <w:sz w:val="18"/>
          <w:szCs w:val="18"/>
        </w:rPr>
        <w:t>月</w:t>
      </w:r>
      <w:r>
        <w:rPr>
          <w:rFonts w:ascii="Arial" w:eastAsia="標楷體" w:hAnsi="Arial" w:cs="Arial" w:hint="eastAsia"/>
          <w:sz w:val="18"/>
          <w:szCs w:val="18"/>
        </w:rPr>
        <w:t>10</w:t>
      </w:r>
      <w:r w:rsidRPr="00F5446C">
        <w:rPr>
          <w:rFonts w:ascii="Arial" w:eastAsia="標楷體" w:hAnsi="Arial" w:cs="Arial" w:hint="eastAsia"/>
          <w:sz w:val="18"/>
          <w:szCs w:val="18"/>
        </w:rPr>
        <w:t>日第</w:t>
      </w:r>
      <w:r w:rsidRPr="00F5446C">
        <w:rPr>
          <w:rFonts w:ascii="Arial" w:eastAsia="標楷體" w:hAnsi="Arial" w:cs="Arial"/>
          <w:sz w:val="18"/>
          <w:szCs w:val="18"/>
        </w:rPr>
        <w:t>6</w:t>
      </w:r>
      <w:r w:rsidRPr="00F5446C">
        <w:rPr>
          <w:rFonts w:ascii="Arial" w:eastAsia="標楷體" w:hAnsi="Arial" w:cs="Arial" w:hint="eastAsia"/>
          <w:sz w:val="18"/>
          <w:szCs w:val="18"/>
        </w:rPr>
        <w:t>屆理監事第</w:t>
      </w:r>
      <w:r w:rsidRPr="00F5446C">
        <w:rPr>
          <w:rFonts w:ascii="Arial" w:eastAsia="標楷體" w:hAnsi="Arial" w:cs="Arial"/>
          <w:sz w:val="18"/>
          <w:szCs w:val="18"/>
        </w:rPr>
        <w:t xml:space="preserve">1 </w:t>
      </w:r>
      <w:r>
        <w:rPr>
          <w:rFonts w:ascii="Arial" w:eastAsia="標楷體" w:hAnsi="Arial" w:cs="Arial" w:hint="eastAsia"/>
          <w:sz w:val="18"/>
          <w:szCs w:val="18"/>
        </w:rPr>
        <w:t>8</w:t>
      </w:r>
      <w:r w:rsidRPr="00F5446C">
        <w:rPr>
          <w:rFonts w:ascii="Arial" w:eastAsia="標楷體" w:hAnsi="Arial" w:cs="Arial" w:hint="eastAsia"/>
          <w:sz w:val="18"/>
          <w:szCs w:val="18"/>
        </w:rPr>
        <w:t>次聯席會議追認通過</w:t>
      </w:r>
    </w:p>
    <w:p w:rsidR="00E80472" w:rsidRPr="00F5446C" w:rsidRDefault="00E80472" w:rsidP="00E80472">
      <w:pPr>
        <w:adjustRightInd w:val="0"/>
        <w:snapToGrid w:val="0"/>
        <w:spacing w:line="320" w:lineRule="exact"/>
        <w:jc w:val="right"/>
        <w:rPr>
          <w:rFonts w:ascii="Arial" w:eastAsia="標楷體" w:hAnsi="Arial" w:cs="Arial"/>
          <w:sz w:val="18"/>
          <w:szCs w:val="18"/>
        </w:rPr>
      </w:pPr>
      <w:r w:rsidRPr="00F5446C">
        <w:rPr>
          <w:rFonts w:ascii="Arial" w:eastAsia="標楷體" w:hAnsi="Arial" w:cs="Arial" w:hint="eastAsia"/>
          <w:sz w:val="18"/>
          <w:szCs w:val="18"/>
        </w:rPr>
        <w:t>111</w:t>
      </w:r>
      <w:r w:rsidRPr="00F5446C">
        <w:rPr>
          <w:rFonts w:ascii="Arial" w:eastAsia="標楷體" w:hAnsi="Arial" w:cs="Arial" w:hint="eastAsia"/>
          <w:sz w:val="18"/>
          <w:szCs w:val="18"/>
        </w:rPr>
        <w:t>年</w:t>
      </w:r>
      <w:r>
        <w:rPr>
          <w:rFonts w:ascii="Arial" w:eastAsia="標楷體" w:hAnsi="Arial" w:cs="Arial" w:hint="eastAsia"/>
          <w:sz w:val="18"/>
          <w:szCs w:val="18"/>
        </w:rPr>
        <w:t>6</w:t>
      </w:r>
      <w:r w:rsidRPr="00F5446C">
        <w:rPr>
          <w:rFonts w:ascii="Arial" w:eastAsia="標楷體" w:hAnsi="Arial" w:cs="Arial" w:hint="eastAsia"/>
          <w:sz w:val="18"/>
          <w:szCs w:val="18"/>
        </w:rPr>
        <w:t>月</w:t>
      </w:r>
      <w:r>
        <w:rPr>
          <w:rFonts w:ascii="Arial" w:eastAsia="標楷體" w:hAnsi="Arial" w:cs="Arial" w:hint="eastAsia"/>
          <w:sz w:val="18"/>
          <w:szCs w:val="18"/>
        </w:rPr>
        <w:t>8</w:t>
      </w:r>
      <w:r w:rsidRPr="00F5446C">
        <w:rPr>
          <w:rFonts w:ascii="Arial" w:eastAsia="標楷體" w:hAnsi="Arial" w:cs="Arial" w:hint="eastAsia"/>
          <w:sz w:val="18"/>
          <w:szCs w:val="18"/>
        </w:rPr>
        <w:t>日金融監督管理委員會</w:t>
      </w:r>
    </w:p>
    <w:p w:rsidR="00E80472" w:rsidRDefault="00E80472" w:rsidP="00E80472">
      <w:pPr>
        <w:adjustRightInd w:val="0"/>
        <w:snapToGrid w:val="0"/>
        <w:spacing w:line="320" w:lineRule="exact"/>
        <w:jc w:val="right"/>
        <w:rPr>
          <w:rFonts w:ascii="Arial" w:eastAsia="標楷體" w:hAnsi="Arial" w:cs="Arial"/>
          <w:sz w:val="18"/>
          <w:szCs w:val="18"/>
        </w:rPr>
      </w:pPr>
      <w:r w:rsidRPr="00E80472">
        <w:rPr>
          <w:rFonts w:ascii="Arial" w:eastAsia="標楷體" w:hAnsi="Arial" w:cs="Arial" w:hint="eastAsia"/>
          <w:sz w:val="18"/>
          <w:szCs w:val="18"/>
        </w:rPr>
        <w:t>金</w:t>
      </w:r>
      <w:proofErr w:type="gramStart"/>
      <w:r w:rsidRPr="00E80472">
        <w:rPr>
          <w:rFonts w:ascii="Arial" w:eastAsia="標楷體" w:hAnsi="Arial" w:cs="Arial" w:hint="eastAsia"/>
          <w:sz w:val="18"/>
          <w:szCs w:val="18"/>
        </w:rPr>
        <w:t>管證期字</w:t>
      </w:r>
      <w:proofErr w:type="gramEnd"/>
      <w:r w:rsidRPr="00E80472">
        <w:rPr>
          <w:rFonts w:ascii="Arial" w:eastAsia="標楷體" w:hAnsi="Arial" w:cs="Arial" w:hint="eastAsia"/>
          <w:sz w:val="18"/>
          <w:szCs w:val="18"/>
        </w:rPr>
        <w:t>第</w:t>
      </w:r>
      <w:r w:rsidRPr="00E80472">
        <w:rPr>
          <w:rFonts w:ascii="Arial" w:eastAsia="標楷體" w:hAnsi="Arial" w:cs="Arial" w:hint="eastAsia"/>
          <w:sz w:val="18"/>
          <w:szCs w:val="18"/>
        </w:rPr>
        <w:t>1110345609</w:t>
      </w:r>
      <w:r w:rsidRPr="00E80472">
        <w:rPr>
          <w:rFonts w:ascii="Arial" w:eastAsia="標楷體" w:hAnsi="Arial" w:cs="Arial" w:hint="eastAsia"/>
          <w:sz w:val="18"/>
          <w:szCs w:val="18"/>
        </w:rPr>
        <w:t>號</w:t>
      </w:r>
      <w:r w:rsidRPr="00F5446C">
        <w:rPr>
          <w:rFonts w:ascii="Arial" w:eastAsia="標楷體" w:hAnsi="Arial" w:cs="Arial"/>
          <w:sz w:val="18"/>
          <w:szCs w:val="18"/>
        </w:rPr>
        <w:t>同意備查</w:t>
      </w:r>
    </w:p>
    <w:p w:rsidR="00E80472" w:rsidRPr="00F5446C" w:rsidRDefault="00E80472" w:rsidP="00E80472">
      <w:pPr>
        <w:adjustRightInd w:val="0"/>
        <w:snapToGrid w:val="0"/>
        <w:spacing w:line="320" w:lineRule="exact"/>
        <w:jc w:val="right"/>
        <w:rPr>
          <w:rFonts w:ascii="Arial" w:eastAsia="標楷體" w:hAnsi="Arial" w:cs="Arial"/>
          <w:sz w:val="18"/>
          <w:szCs w:val="18"/>
        </w:rPr>
      </w:pPr>
      <w:r w:rsidRPr="00F5446C">
        <w:rPr>
          <w:rFonts w:ascii="Arial" w:eastAsia="標楷體" w:hAnsi="Arial" w:cs="Arial" w:hint="eastAsia"/>
          <w:sz w:val="18"/>
          <w:szCs w:val="18"/>
        </w:rPr>
        <w:t>111</w:t>
      </w:r>
      <w:r w:rsidRPr="00F5446C">
        <w:rPr>
          <w:rFonts w:ascii="Arial" w:eastAsia="標楷體" w:hAnsi="Arial" w:cs="Arial" w:hint="eastAsia"/>
          <w:sz w:val="18"/>
          <w:szCs w:val="18"/>
        </w:rPr>
        <w:t>年</w:t>
      </w:r>
      <w:r w:rsidRPr="00F5446C">
        <w:rPr>
          <w:rFonts w:ascii="Arial" w:eastAsia="標楷體" w:hAnsi="Arial" w:cs="Arial" w:hint="eastAsia"/>
          <w:sz w:val="18"/>
          <w:szCs w:val="18"/>
        </w:rPr>
        <w:t>2</w:t>
      </w:r>
      <w:r w:rsidRPr="00F5446C">
        <w:rPr>
          <w:rFonts w:ascii="Arial" w:eastAsia="標楷體" w:hAnsi="Arial" w:cs="Arial" w:hint="eastAsia"/>
          <w:sz w:val="18"/>
          <w:szCs w:val="18"/>
        </w:rPr>
        <w:t>月</w:t>
      </w:r>
      <w:r w:rsidRPr="00F5446C">
        <w:rPr>
          <w:rFonts w:ascii="Arial" w:eastAsia="標楷體" w:hAnsi="Arial" w:cs="Arial" w:hint="eastAsia"/>
          <w:sz w:val="18"/>
          <w:szCs w:val="18"/>
        </w:rPr>
        <w:t>25</w:t>
      </w:r>
      <w:r w:rsidRPr="00F5446C">
        <w:rPr>
          <w:rFonts w:ascii="Arial" w:eastAsia="標楷體" w:hAnsi="Arial" w:cs="Arial" w:hint="eastAsia"/>
          <w:sz w:val="18"/>
          <w:szCs w:val="18"/>
        </w:rPr>
        <w:t>日第</w:t>
      </w:r>
      <w:r w:rsidRPr="00F5446C">
        <w:rPr>
          <w:rFonts w:ascii="Arial" w:eastAsia="標楷體" w:hAnsi="Arial" w:cs="Arial"/>
          <w:sz w:val="18"/>
          <w:szCs w:val="18"/>
        </w:rPr>
        <w:t>6</w:t>
      </w:r>
      <w:r w:rsidRPr="00F5446C">
        <w:rPr>
          <w:rFonts w:ascii="Arial" w:eastAsia="標楷體" w:hAnsi="Arial" w:cs="Arial" w:hint="eastAsia"/>
          <w:sz w:val="18"/>
          <w:szCs w:val="18"/>
        </w:rPr>
        <w:t>屆理監事第</w:t>
      </w:r>
      <w:r w:rsidRPr="00F5446C">
        <w:rPr>
          <w:rFonts w:ascii="Arial" w:eastAsia="標楷體" w:hAnsi="Arial" w:cs="Arial"/>
          <w:sz w:val="18"/>
          <w:szCs w:val="18"/>
        </w:rPr>
        <w:t>1 6</w:t>
      </w:r>
      <w:r w:rsidRPr="00F5446C">
        <w:rPr>
          <w:rFonts w:ascii="Arial" w:eastAsia="標楷體" w:hAnsi="Arial" w:cs="Arial" w:hint="eastAsia"/>
          <w:sz w:val="18"/>
          <w:szCs w:val="18"/>
        </w:rPr>
        <w:t>次聯席會議追認通過</w:t>
      </w:r>
    </w:p>
    <w:p w:rsidR="00E80472" w:rsidRPr="00F5446C" w:rsidRDefault="00E80472" w:rsidP="00E80472">
      <w:pPr>
        <w:adjustRightInd w:val="0"/>
        <w:snapToGrid w:val="0"/>
        <w:spacing w:line="320" w:lineRule="exact"/>
        <w:jc w:val="right"/>
        <w:rPr>
          <w:rFonts w:ascii="Arial" w:eastAsia="標楷體" w:hAnsi="Arial" w:cs="Arial"/>
          <w:sz w:val="18"/>
          <w:szCs w:val="18"/>
        </w:rPr>
      </w:pPr>
      <w:r w:rsidRPr="00F5446C">
        <w:rPr>
          <w:rFonts w:ascii="Arial" w:eastAsia="標楷體" w:hAnsi="Arial" w:cs="Arial" w:hint="eastAsia"/>
          <w:sz w:val="18"/>
          <w:szCs w:val="18"/>
        </w:rPr>
        <w:t>111</w:t>
      </w:r>
      <w:r w:rsidRPr="00F5446C">
        <w:rPr>
          <w:rFonts w:ascii="Arial" w:eastAsia="標楷體" w:hAnsi="Arial" w:cs="Arial" w:hint="eastAsia"/>
          <w:sz w:val="18"/>
          <w:szCs w:val="18"/>
        </w:rPr>
        <w:t>年</w:t>
      </w:r>
      <w:r w:rsidRPr="00F5446C">
        <w:rPr>
          <w:rFonts w:ascii="Arial" w:eastAsia="標楷體" w:hAnsi="Arial" w:cs="Arial" w:hint="eastAsia"/>
          <w:sz w:val="18"/>
          <w:szCs w:val="18"/>
        </w:rPr>
        <w:t>4</w:t>
      </w:r>
      <w:r w:rsidRPr="00F5446C">
        <w:rPr>
          <w:rFonts w:ascii="Arial" w:eastAsia="標楷體" w:hAnsi="Arial" w:cs="Arial" w:hint="eastAsia"/>
          <w:sz w:val="18"/>
          <w:szCs w:val="18"/>
        </w:rPr>
        <w:t>月</w:t>
      </w:r>
      <w:r w:rsidRPr="00F5446C">
        <w:rPr>
          <w:rFonts w:ascii="Arial" w:eastAsia="標楷體" w:hAnsi="Arial" w:cs="Arial" w:hint="eastAsia"/>
          <w:sz w:val="18"/>
          <w:szCs w:val="18"/>
        </w:rPr>
        <w:t>15</w:t>
      </w:r>
      <w:r w:rsidRPr="00F5446C">
        <w:rPr>
          <w:rFonts w:ascii="Arial" w:eastAsia="標楷體" w:hAnsi="Arial" w:cs="Arial" w:hint="eastAsia"/>
          <w:sz w:val="18"/>
          <w:szCs w:val="18"/>
        </w:rPr>
        <w:t>日第</w:t>
      </w:r>
      <w:r w:rsidRPr="00F5446C">
        <w:rPr>
          <w:rFonts w:ascii="Arial" w:eastAsia="標楷體" w:hAnsi="Arial" w:cs="Arial"/>
          <w:sz w:val="18"/>
          <w:szCs w:val="18"/>
        </w:rPr>
        <w:t>6</w:t>
      </w:r>
      <w:r w:rsidRPr="00F5446C">
        <w:rPr>
          <w:rFonts w:ascii="Arial" w:eastAsia="標楷體" w:hAnsi="Arial" w:cs="Arial" w:hint="eastAsia"/>
          <w:sz w:val="18"/>
          <w:szCs w:val="18"/>
        </w:rPr>
        <w:t>屆理監事第</w:t>
      </w:r>
      <w:r w:rsidRPr="00F5446C">
        <w:rPr>
          <w:rFonts w:ascii="Arial" w:eastAsia="標楷體" w:hAnsi="Arial" w:cs="Arial"/>
          <w:sz w:val="18"/>
          <w:szCs w:val="18"/>
        </w:rPr>
        <w:t xml:space="preserve">1 </w:t>
      </w:r>
      <w:r w:rsidRPr="00F5446C">
        <w:rPr>
          <w:rFonts w:ascii="Arial" w:eastAsia="標楷體" w:hAnsi="Arial" w:cs="Arial" w:hint="eastAsia"/>
          <w:sz w:val="18"/>
          <w:szCs w:val="18"/>
        </w:rPr>
        <w:t>7</w:t>
      </w:r>
      <w:r w:rsidRPr="00F5446C">
        <w:rPr>
          <w:rFonts w:ascii="Arial" w:eastAsia="標楷體" w:hAnsi="Arial" w:cs="Arial" w:hint="eastAsia"/>
          <w:sz w:val="18"/>
          <w:szCs w:val="18"/>
        </w:rPr>
        <w:t>次聯席會議追認通過</w:t>
      </w:r>
    </w:p>
    <w:p w:rsidR="00E80472" w:rsidRPr="00F5446C" w:rsidRDefault="00E80472" w:rsidP="00E80472">
      <w:pPr>
        <w:adjustRightInd w:val="0"/>
        <w:snapToGrid w:val="0"/>
        <w:spacing w:line="320" w:lineRule="exact"/>
        <w:jc w:val="right"/>
        <w:rPr>
          <w:rFonts w:ascii="Arial" w:eastAsia="標楷體" w:hAnsi="Arial" w:cs="Arial"/>
          <w:sz w:val="18"/>
          <w:szCs w:val="18"/>
        </w:rPr>
      </w:pPr>
      <w:r w:rsidRPr="00F5446C">
        <w:rPr>
          <w:rFonts w:ascii="Arial" w:eastAsia="標楷體" w:hAnsi="Arial" w:cs="Arial" w:hint="eastAsia"/>
          <w:sz w:val="18"/>
          <w:szCs w:val="18"/>
        </w:rPr>
        <w:t>111</w:t>
      </w:r>
      <w:r w:rsidRPr="00F5446C">
        <w:rPr>
          <w:rFonts w:ascii="Arial" w:eastAsia="標楷體" w:hAnsi="Arial" w:cs="Arial" w:hint="eastAsia"/>
          <w:sz w:val="18"/>
          <w:szCs w:val="18"/>
        </w:rPr>
        <w:t>年</w:t>
      </w:r>
      <w:r w:rsidRPr="00F5446C">
        <w:rPr>
          <w:rFonts w:ascii="Arial" w:eastAsia="標楷體" w:hAnsi="Arial" w:cs="Arial" w:hint="eastAsia"/>
          <w:sz w:val="18"/>
          <w:szCs w:val="18"/>
        </w:rPr>
        <w:t>4</w:t>
      </w:r>
      <w:r w:rsidRPr="00F5446C">
        <w:rPr>
          <w:rFonts w:ascii="Arial" w:eastAsia="標楷體" w:hAnsi="Arial" w:cs="Arial" w:hint="eastAsia"/>
          <w:sz w:val="18"/>
          <w:szCs w:val="18"/>
        </w:rPr>
        <w:t>月</w:t>
      </w:r>
      <w:r w:rsidRPr="00F5446C">
        <w:rPr>
          <w:rFonts w:ascii="Arial" w:eastAsia="標楷體" w:hAnsi="Arial" w:cs="Arial" w:hint="eastAsia"/>
          <w:sz w:val="18"/>
          <w:szCs w:val="18"/>
        </w:rPr>
        <w:t>7</w:t>
      </w:r>
      <w:r w:rsidRPr="00F5446C">
        <w:rPr>
          <w:rFonts w:ascii="Arial" w:eastAsia="標楷體" w:hAnsi="Arial" w:cs="Arial" w:hint="eastAsia"/>
          <w:sz w:val="18"/>
          <w:szCs w:val="18"/>
        </w:rPr>
        <w:t>日金融監督管理委員會</w:t>
      </w:r>
    </w:p>
    <w:p w:rsidR="00E80472" w:rsidRPr="00F5446C" w:rsidRDefault="00E80472" w:rsidP="00E80472">
      <w:pPr>
        <w:adjustRightInd w:val="0"/>
        <w:snapToGrid w:val="0"/>
        <w:spacing w:line="320" w:lineRule="exact"/>
        <w:jc w:val="right"/>
        <w:rPr>
          <w:rFonts w:ascii="Arial" w:eastAsia="標楷體" w:hAnsi="Arial" w:cs="Arial"/>
          <w:sz w:val="18"/>
          <w:szCs w:val="18"/>
        </w:rPr>
      </w:pPr>
      <w:r w:rsidRPr="00F5446C">
        <w:rPr>
          <w:rFonts w:ascii="Arial" w:eastAsia="標楷體" w:hAnsi="Arial" w:cs="Arial"/>
          <w:sz w:val="18"/>
          <w:szCs w:val="18"/>
        </w:rPr>
        <w:t>金</w:t>
      </w:r>
      <w:proofErr w:type="gramStart"/>
      <w:r w:rsidRPr="00F5446C">
        <w:rPr>
          <w:rFonts w:ascii="Arial" w:eastAsia="標楷體" w:hAnsi="Arial" w:cs="Arial"/>
          <w:sz w:val="18"/>
          <w:szCs w:val="18"/>
        </w:rPr>
        <w:t>管證期字</w:t>
      </w:r>
      <w:proofErr w:type="gramEnd"/>
      <w:r w:rsidRPr="00F5446C">
        <w:rPr>
          <w:rFonts w:ascii="Arial" w:eastAsia="標楷體" w:hAnsi="Arial" w:cs="Arial"/>
          <w:sz w:val="18"/>
          <w:szCs w:val="18"/>
        </w:rPr>
        <w:t>第</w:t>
      </w:r>
      <w:r w:rsidRPr="00F5446C">
        <w:rPr>
          <w:rFonts w:ascii="Arial" w:eastAsia="標楷體" w:hAnsi="Arial" w:cs="Arial"/>
          <w:sz w:val="18"/>
          <w:szCs w:val="18"/>
        </w:rPr>
        <w:t>1110332843</w:t>
      </w:r>
      <w:r w:rsidRPr="00F5446C">
        <w:rPr>
          <w:rFonts w:ascii="Arial" w:eastAsia="標楷體" w:hAnsi="Arial" w:cs="Arial"/>
          <w:sz w:val="18"/>
          <w:szCs w:val="18"/>
        </w:rPr>
        <w:t>號同意備查</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第一條</w:t>
      </w:r>
      <w:r w:rsidRPr="007E376C">
        <w:rPr>
          <w:rFonts w:ascii="Arial" w:eastAsia="標楷體" w:hAnsi="Arial" w:cs="Arial" w:hint="eastAsia"/>
          <w:sz w:val="28"/>
          <w:szCs w:val="28"/>
        </w:rPr>
        <w:t xml:space="preserve"> (</w:t>
      </w:r>
      <w:r w:rsidRPr="007E376C">
        <w:rPr>
          <w:rFonts w:ascii="Arial" w:eastAsia="標楷體" w:hAnsi="Arial" w:cs="Arial" w:hint="eastAsia"/>
          <w:sz w:val="28"/>
          <w:szCs w:val="28"/>
        </w:rPr>
        <w:t>目的及依據</w:t>
      </w:r>
      <w:r w:rsidRPr="007E376C">
        <w:rPr>
          <w:rFonts w:ascii="Arial" w:eastAsia="標楷體" w:hAnsi="Arial" w:cs="Arial" w:hint="eastAsia"/>
          <w:sz w:val="28"/>
          <w:szCs w:val="28"/>
        </w:rPr>
        <w:t>)</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sz w:val="28"/>
          <w:szCs w:val="28"/>
        </w:rPr>
        <w:t>為</w:t>
      </w:r>
      <w:r w:rsidRPr="007E376C">
        <w:rPr>
          <w:rFonts w:ascii="Arial" w:eastAsia="標楷體" w:hAnsi="Arial" w:cs="Arial" w:hint="eastAsia"/>
          <w:sz w:val="28"/>
          <w:szCs w:val="28"/>
        </w:rPr>
        <w:t>強化對高齡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之保護</w:t>
      </w:r>
      <w:r w:rsidRPr="007E376C">
        <w:rPr>
          <w:rFonts w:ascii="Arial" w:eastAsia="標楷體" w:hAnsi="Arial" w:cs="Arial"/>
          <w:sz w:val="28"/>
          <w:szCs w:val="28"/>
        </w:rPr>
        <w:t>，</w:t>
      </w:r>
      <w:r w:rsidRPr="007E376C">
        <w:rPr>
          <w:rFonts w:ascii="Arial" w:eastAsia="標楷體" w:hAnsi="Arial" w:cs="Arial" w:hint="eastAsia"/>
          <w:sz w:val="28"/>
          <w:szCs w:val="28"/>
        </w:rPr>
        <w:t>訂定本準則。</w:t>
      </w:r>
    </w:p>
    <w:p w:rsidR="00E80472" w:rsidRPr="007E376C" w:rsidRDefault="00E80472" w:rsidP="00E80472">
      <w:pPr>
        <w:adjustRightInd w:val="0"/>
        <w:snapToGrid w:val="0"/>
        <w:spacing w:afterLines="50" w:after="180" w:line="540" w:lineRule="exact"/>
        <w:jc w:val="both"/>
        <w:rPr>
          <w:rFonts w:ascii="Arial" w:eastAsia="標楷體" w:hAnsi="Arial" w:cs="Arial"/>
          <w:sz w:val="28"/>
          <w:szCs w:val="28"/>
        </w:rPr>
      </w:pPr>
      <w:r w:rsidRPr="007E376C">
        <w:rPr>
          <w:rFonts w:ascii="Arial" w:eastAsia="標楷體" w:hAnsi="Arial" w:cs="Arial" w:hint="eastAsia"/>
          <w:sz w:val="28"/>
          <w:szCs w:val="28"/>
        </w:rPr>
        <w:t>擔任期貨信託基金之銷售機構，如已依各業別相關法令或其同業公會所定高齡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保護規定辦理者，不適用本準則之規定。</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第二條</w:t>
      </w:r>
      <w:r w:rsidRPr="007E376C">
        <w:rPr>
          <w:rFonts w:ascii="Arial" w:eastAsia="標楷體" w:hAnsi="Arial" w:cs="Arial" w:hint="eastAsia"/>
          <w:sz w:val="28"/>
          <w:szCs w:val="28"/>
        </w:rPr>
        <w:t xml:space="preserve"> (</w:t>
      </w:r>
      <w:r w:rsidRPr="007E376C">
        <w:rPr>
          <w:rFonts w:ascii="Arial" w:eastAsia="標楷體" w:hAnsi="Arial" w:cs="Arial" w:hint="eastAsia"/>
          <w:sz w:val="28"/>
          <w:szCs w:val="28"/>
        </w:rPr>
        <w:t>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範圍</w:t>
      </w:r>
      <w:r w:rsidRPr="007E376C">
        <w:rPr>
          <w:rFonts w:ascii="Arial" w:eastAsia="標楷體" w:hAnsi="Arial" w:cs="Arial" w:hint="eastAsia"/>
          <w:sz w:val="28"/>
          <w:szCs w:val="28"/>
        </w:rPr>
        <w:t>)</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本準則所稱高齡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，指接受期貨服務事業提供金融商品或服務，年齡為六十五歲以上之自然人客戶，但主管機關另有規定者，依其規定。</w:t>
      </w:r>
    </w:p>
    <w:p w:rsidR="00E80472" w:rsidRPr="007E376C" w:rsidRDefault="00E80472" w:rsidP="00E80472">
      <w:pPr>
        <w:adjustRightInd w:val="0"/>
        <w:snapToGrid w:val="0"/>
        <w:spacing w:afterLines="50" w:after="180" w:line="540" w:lineRule="exact"/>
        <w:jc w:val="both"/>
        <w:rPr>
          <w:rFonts w:ascii="Arial" w:eastAsia="標楷體" w:hAnsi="Arial" w:cs="Arial"/>
          <w:sz w:val="28"/>
          <w:szCs w:val="28"/>
        </w:rPr>
      </w:pPr>
      <w:r w:rsidRPr="007E376C">
        <w:rPr>
          <w:rFonts w:ascii="Arial" w:eastAsia="標楷體" w:hAnsi="Arial" w:cs="Arial" w:hint="eastAsia"/>
          <w:sz w:val="28"/>
          <w:szCs w:val="28"/>
        </w:rPr>
        <w:t>前項所稱期貨服務事業：期貨顧問事業、期貨經理事業及期貨信託事業。</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第三條</w:t>
      </w:r>
      <w:r w:rsidRPr="007E376C">
        <w:rPr>
          <w:rFonts w:ascii="Arial" w:eastAsia="標楷體" w:hAnsi="Arial" w:cs="Arial" w:hint="eastAsia"/>
          <w:sz w:val="28"/>
          <w:szCs w:val="28"/>
        </w:rPr>
        <w:t xml:space="preserve"> (K</w:t>
      </w:r>
      <w:r w:rsidRPr="007E376C">
        <w:rPr>
          <w:rFonts w:ascii="Arial" w:eastAsia="標楷體" w:hAnsi="Arial" w:cs="Arial"/>
          <w:sz w:val="28"/>
          <w:szCs w:val="28"/>
        </w:rPr>
        <w:t>YC</w:t>
      </w:r>
      <w:r w:rsidRPr="007E376C">
        <w:rPr>
          <w:rFonts w:ascii="Arial" w:eastAsia="標楷體" w:hAnsi="Arial" w:cs="Arial" w:hint="eastAsia"/>
          <w:sz w:val="28"/>
          <w:szCs w:val="28"/>
        </w:rPr>
        <w:t>作業</w:t>
      </w:r>
      <w:r w:rsidRPr="007E376C">
        <w:rPr>
          <w:rFonts w:ascii="Arial" w:eastAsia="標楷體" w:hAnsi="Arial" w:cs="Arial" w:hint="eastAsia"/>
          <w:sz w:val="28"/>
          <w:szCs w:val="28"/>
        </w:rPr>
        <w:t>)</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為有效評估高齡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是否有弱點，期貨服務事業向高齡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提供金融商品或服務時，應有符合高齡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之風險承受度評估項目。</w:t>
      </w:r>
    </w:p>
    <w:p w:rsidR="00E80472" w:rsidRPr="007E376C" w:rsidRDefault="00E80472" w:rsidP="00E80472">
      <w:pPr>
        <w:adjustRightInd w:val="0"/>
        <w:snapToGrid w:val="0"/>
        <w:spacing w:afterLines="50" w:after="180" w:line="540" w:lineRule="exact"/>
        <w:jc w:val="both"/>
        <w:rPr>
          <w:rFonts w:ascii="Arial" w:eastAsia="標楷體" w:hAnsi="Arial" w:cs="Arial"/>
          <w:sz w:val="28"/>
          <w:szCs w:val="28"/>
        </w:rPr>
      </w:pPr>
      <w:r w:rsidRPr="007E376C">
        <w:rPr>
          <w:rFonts w:ascii="Arial" w:eastAsia="標楷體" w:hAnsi="Arial" w:cs="Arial" w:hint="eastAsia"/>
          <w:sz w:val="28"/>
          <w:szCs w:val="28"/>
        </w:rPr>
        <w:t>期貨信託事業於辦理定期更新基金適合度評估時發現高齡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風險承受度變更，致未符合原定期定額投資之基金風險等級時，仍得依原約定條件辦理定期定額投資作業，惟不得新增扣款額度或頻率。</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第四條</w:t>
      </w:r>
      <w:r w:rsidRPr="007E376C">
        <w:rPr>
          <w:rFonts w:ascii="Arial" w:eastAsia="標楷體" w:hAnsi="Arial" w:cs="Arial" w:hint="eastAsia"/>
          <w:sz w:val="28"/>
          <w:szCs w:val="28"/>
        </w:rPr>
        <w:t xml:space="preserve"> (K</w:t>
      </w:r>
      <w:r w:rsidRPr="007E376C">
        <w:rPr>
          <w:rFonts w:ascii="Arial" w:eastAsia="標楷體" w:hAnsi="Arial" w:cs="Arial"/>
          <w:sz w:val="28"/>
          <w:szCs w:val="28"/>
        </w:rPr>
        <w:t>YP</w:t>
      </w:r>
      <w:r w:rsidRPr="007E376C">
        <w:rPr>
          <w:rFonts w:ascii="Arial" w:eastAsia="標楷體" w:hAnsi="Arial" w:cs="Arial" w:hint="eastAsia"/>
          <w:sz w:val="28"/>
          <w:szCs w:val="28"/>
        </w:rPr>
        <w:t>作業</w:t>
      </w:r>
      <w:r w:rsidRPr="007E376C">
        <w:rPr>
          <w:rFonts w:ascii="Arial" w:eastAsia="標楷體" w:hAnsi="Arial" w:cs="Arial" w:hint="eastAsia"/>
          <w:sz w:val="28"/>
          <w:szCs w:val="28"/>
        </w:rPr>
        <w:t>)</w:t>
      </w:r>
    </w:p>
    <w:p w:rsidR="00E80472" w:rsidRPr="007E376C" w:rsidRDefault="00E80472" w:rsidP="00E80472">
      <w:pPr>
        <w:adjustRightInd w:val="0"/>
        <w:snapToGrid w:val="0"/>
        <w:spacing w:afterLines="50" w:after="180" w:line="540" w:lineRule="exact"/>
        <w:jc w:val="both"/>
        <w:rPr>
          <w:rFonts w:ascii="Arial" w:eastAsia="標楷體" w:hAnsi="Arial" w:cs="Arial"/>
          <w:sz w:val="28"/>
          <w:szCs w:val="28"/>
        </w:rPr>
      </w:pPr>
      <w:r w:rsidRPr="007E376C">
        <w:rPr>
          <w:rFonts w:ascii="Arial" w:eastAsia="標楷體" w:hAnsi="Arial" w:cs="Arial" w:hint="eastAsia"/>
          <w:sz w:val="28"/>
          <w:szCs w:val="28"/>
        </w:rPr>
        <w:t>期貨服務事業針對高齡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之商品或風險等級評估，應適當考量影響商品或服務風險等級分類較高之因子，如天期較長、有提前終止解約</w:t>
      </w:r>
      <w:r w:rsidRPr="007E376C">
        <w:rPr>
          <w:rFonts w:ascii="Arial" w:eastAsia="標楷體" w:hAnsi="Arial" w:cs="Arial" w:hint="eastAsia"/>
          <w:sz w:val="28"/>
          <w:szCs w:val="28"/>
        </w:rPr>
        <w:lastRenderedPageBreak/>
        <w:t>罰則、流動性低、新種或複雜性高等不易理解商品與架構、風險性高、會損及投資本金等，並充分反映其風險等級及標示特性。</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第五條</w:t>
      </w:r>
      <w:r w:rsidRPr="007E376C">
        <w:rPr>
          <w:rFonts w:ascii="Arial" w:eastAsia="標楷體" w:hAnsi="Arial" w:cs="Arial" w:hint="eastAsia"/>
          <w:sz w:val="28"/>
          <w:szCs w:val="28"/>
        </w:rPr>
        <w:t xml:space="preserve"> (</w:t>
      </w:r>
      <w:r w:rsidRPr="007E376C">
        <w:rPr>
          <w:rFonts w:ascii="Arial" w:eastAsia="標楷體" w:hAnsi="Arial" w:cs="Arial" w:hint="eastAsia"/>
          <w:sz w:val="28"/>
          <w:szCs w:val="28"/>
        </w:rPr>
        <w:t>行銷程序及作業</w:t>
      </w:r>
      <w:r w:rsidRPr="007E376C">
        <w:rPr>
          <w:rFonts w:ascii="Arial" w:eastAsia="標楷體" w:hAnsi="Arial" w:cs="Arial" w:hint="eastAsia"/>
          <w:sz w:val="28"/>
          <w:szCs w:val="28"/>
        </w:rPr>
        <w:t>)</w:t>
      </w:r>
    </w:p>
    <w:p w:rsidR="00E80472" w:rsidRPr="007E376C" w:rsidRDefault="00E80472" w:rsidP="00E80472">
      <w:pPr>
        <w:adjustRightInd w:val="0"/>
        <w:snapToGrid w:val="0"/>
        <w:spacing w:afterLines="50" w:after="180" w:line="540" w:lineRule="exact"/>
        <w:jc w:val="both"/>
        <w:rPr>
          <w:rFonts w:ascii="Arial" w:eastAsia="標楷體" w:hAnsi="Arial" w:cs="Arial"/>
          <w:sz w:val="28"/>
          <w:szCs w:val="28"/>
        </w:rPr>
      </w:pPr>
      <w:r w:rsidRPr="007E376C">
        <w:rPr>
          <w:rFonts w:ascii="Arial" w:eastAsia="標楷體" w:hAnsi="Arial" w:cs="Arial" w:hint="eastAsia"/>
          <w:sz w:val="28"/>
          <w:szCs w:val="28"/>
        </w:rPr>
        <w:t>期貨服務事業業務人員對高齡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辦理適合度評估時，應考量高齡客戶之弱點與財務特性及所擬推</w:t>
      </w:r>
      <w:proofErr w:type="gramStart"/>
      <w:r w:rsidRPr="007E376C">
        <w:rPr>
          <w:rFonts w:ascii="Arial" w:eastAsia="標楷體" w:hAnsi="Arial" w:cs="Arial" w:hint="eastAsia"/>
          <w:sz w:val="28"/>
          <w:szCs w:val="28"/>
        </w:rPr>
        <w:t>介</w:t>
      </w:r>
      <w:proofErr w:type="gramEnd"/>
      <w:r w:rsidRPr="007E376C">
        <w:rPr>
          <w:rFonts w:ascii="Arial" w:eastAsia="標楷體" w:hAnsi="Arial" w:cs="Arial" w:hint="eastAsia"/>
          <w:sz w:val="28"/>
          <w:szCs w:val="28"/>
        </w:rPr>
        <w:t>商品之特殊風險事項等，並考量</w:t>
      </w:r>
      <w:r w:rsidRPr="007E376C">
        <w:rPr>
          <w:rFonts w:ascii="Arial" w:eastAsia="標楷體" w:hAnsi="Arial" w:cs="Arial" w:hint="eastAsia"/>
          <w:sz w:val="28"/>
          <w:szCs w:val="28"/>
        </w:rPr>
        <w:t>KYC</w:t>
      </w:r>
      <w:r w:rsidRPr="007E376C">
        <w:rPr>
          <w:rFonts w:ascii="Arial" w:eastAsia="標楷體" w:hAnsi="Arial" w:cs="Arial" w:hint="eastAsia"/>
          <w:sz w:val="28"/>
          <w:szCs w:val="28"/>
        </w:rPr>
        <w:t>及</w:t>
      </w:r>
      <w:r w:rsidRPr="007E376C">
        <w:rPr>
          <w:rFonts w:ascii="Arial" w:eastAsia="標楷體" w:hAnsi="Arial" w:cs="Arial" w:hint="eastAsia"/>
          <w:sz w:val="28"/>
          <w:szCs w:val="28"/>
        </w:rPr>
        <w:t>KYP</w:t>
      </w:r>
      <w:r w:rsidRPr="007E376C">
        <w:rPr>
          <w:rFonts w:ascii="Arial" w:eastAsia="標楷體" w:hAnsi="Arial" w:cs="Arial" w:hint="eastAsia"/>
          <w:sz w:val="28"/>
          <w:szCs w:val="28"/>
        </w:rPr>
        <w:t>結果，妥適評估擬推</w:t>
      </w:r>
      <w:proofErr w:type="gramStart"/>
      <w:r w:rsidRPr="007E376C">
        <w:rPr>
          <w:rFonts w:ascii="Arial" w:eastAsia="標楷體" w:hAnsi="Arial" w:cs="Arial" w:hint="eastAsia"/>
          <w:sz w:val="28"/>
          <w:szCs w:val="28"/>
        </w:rPr>
        <w:t>介</w:t>
      </w:r>
      <w:proofErr w:type="gramEnd"/>
      <w:r w:rsidRPr="007E376C">
        <w:rPr>
          <w:rFonts w:ascii="Arial" w:eastAsia="標楷體" w:hAnsi="Arial" w:cs="Arial" w:hint="eastAsia"/>
          <w:sz w:val="28"/>
          <w:szCs w:val="28"/>
        </w:rPr>
        <w:t>商品或服務之適合性及推</w:t>
      </w:r>
      <w:proofErr w:type="gramStart"/>
      <w:r w:rsidRPr="007E376C">
        <w:rPr>
          <w:rFonts w:ascii="Arial" w:eastAsia="標楷體" w:hAnsi="Arial" w:cs="Arial" w:hint="eastAsia"/>
          <w:sz w:val="28"/>
          <w:szCs w:val="28"/>
        </w:rPr>
        <w:t>介</w:t>
      </w:r>
      <w:proofErr w:type="gramEnd"/>
      <w:r w:rsidRPr="007E376C">
        <w:rPr>
          <w:rFonts w:ascii="Arial" w:eastAsia="標楷體" w:hAnsi="Arial" w:cs="Arial" w:hint="eastAsia"/>
          <w:sz w:val="28"/>
          <w:szCs w:val="28"/>
        </w:rPr>
        <w:t>理由，以確認所行銷商品或服務確實適合該高齡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第六條</w:t>
      </w:r>
      <w:r w:rsidRPr="007E376C">
        <w:rPr>
          <w:rFonts w:ascii="Arial" w:eastAsia="標楷體" w:hAnsi="Arial" w:cs="Arial" w:hint="eastAsia"/>
          <w:sz w:val="28"/>
          <w:szCs w:val="28"/>
        </w:rPr>
        <w:t xml:space="preserve"> (</w:t>
      </w:r>
      <w:r w:rsidRPr="007E376C">
        <w:rPr>
          <w:rFonts w:ascii="Arial" w:eastAsia="標楷體" w:hAnsi="Arial" w:cs="Arial" w:hint="eastAsia"/>
          <w:sz w:val="28"/>
          <w:szCs w:val="28"/>
        </w:rPr>
        <w:t>告知及揭露</w:t>
      </w:r>
      <w:r w:rsidRPr="007E376C">
        <w:rPr>
          <w:rFonts w:ascii="Arial" w:eastAsia="標楷體" w:hAnsi="Arial" w:cs="Arial" w:hint="eastAsia"/>
          <w:sz w:val="28"/>
          <w:szCs w:val="28"/>
        </w:rPr>
        <w:t>)</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期貨服務事業向高齡客戶提供金融金融商品或服務，應強化其行銷與契約文件可閱讀性，以善盡告知及揭露義務，包括但不限於字體加大、文字淺顯易懂等。</w:t>
      </w:r>
    </w:p>
    <w:p w:rsidR="00E80472" w:rsidRPr="007E376C" w:rsidRDefault="00E80472" w:rsidP="00E80472">
      <w:pPr>
        <w:adjustRightInd w:val="0"/>
        <w:snapToGrid w:val="0"/>
        <w:spacing w:afterLines="50" w:after="180" w:line="540" w:lineRule="exact"/>
        <w:jc w:val="both"/>
        <w:rPr>
          <w:rFonts w:ascii="Arial" w:eastAsia="標楷體" w:hAnsi="Arial" w:cs="Arial"/>
          <w:sz w:val="28"/>
          <w:szCs w:val="28"/>
        </w:rPr>
      </w:pPr>
      <w:r w:rsidRPr="007E376C">
        <w:rPr>
          <w:rFonts w:ascii="Arial" w:eastAsia="標楷體" w:hAnsi="Arial" w:cs="Arial" w:hint="eastAsia"/>
          <w:sz w:val="28"/>
          <w:szCs w:val="28"/>
        </w:rPr>
        <w:t>期貨服務事業對關高齡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重大權益義務變更，包括但不限於契約變更、撤銷、解除，鉅額資金或資產轉移，應以事前約定之妥適方法進行通知。</w:t>
      </w:r>
    </w:p>
    <w:p w:rsidR="00E80472" w:rsidRPr="006E230E"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第七條</w:t>
      </w:r>
      <w:r w:rsidRPr="006E230E">
        <w:rPr>
          <w:rFonts w:ascii="Arial" w:eastAsia="標楷體" w:hAnsi="Arial" w:cs="Arial" w:hint="eastAsia"/>
          <w:sz w:val="28"/>
          <w:szCs w:val="28"/>
        </w:rPr>
        <w:t xml:space="preserve"> (</w:t>
      </w:r>
      <w:r w:rsidRPr="006E230E">
        <w:rPr>
          <w:rFonts w:ascii="Arial" w:eastAsia="標楷體" w:hAnsi="Arial" w:cs="Arial" w:hint="eastAsia"/>
          <w:sz w:val="28"/>
          <w:szCs w:val="28"/>
        </w:rPr>
        <w:t>關懷提問</w:t>
      </w:r>
      <w:r w:rsidRPr="006E230E">
        <w:rPr>
          <w:rFonts w:ascii="Arial" w:eastAsia="標楷體" w:hAnsi="Arial" w:cs="Arial" w:hint="eastAsia"/>
          <w:sz w:val="28"/>
          <w:szCs w:val="28"/>
        </w:rPr>
        <w:t>)</w:t>
      </w:r>
    </w:p>
    <w:p w:rsidR="00E80472" w:rsidRDefault="00E80472" w:rsidP="00E80472">
      <w:pPr>
        <w:adjustRightInd w:val="0"/>
        <w:snapToGrid w:val="0"/>
        <w:spacing w:afterLines="50" w:after="180" w:line="540" w:lineRule="exact"/>
        <w:jc w:val="both"/>
        <w:rPr>
          <w:rFonts w:ascii="Arial" w:eastAsia="標楷體" w:hAnsi="Arial" w:cs="Arial"/>
          <w:sz w:val="28"/>
          <w:szCs w:val="28"/>
        </w:rPr>
      </w:pPr>
      <w:r w:rsidRPr="006E230E">
        <w:rPr>
          <w:rFonts w:ascii="Arial" w:eastAsia="標楷體" w:hAnsi="Arial" w:cs="Arial" w:hint="eastAsia"/>
          <w:sz w:val="28"/>
          <w:szCs w:val="28"/>
        </w:rPr>
        <w:t>期貨服務事業對高齡客戶之特殊行為，宜</w:t>
      </w:r>
      <w:proofErr w:type="gramStart"/>
      <w:r w:rsidRPr="006E230E">
        <w:rPr>
          <w:rFonts w:ascii="Arial" w:eastAsia="標楷體" w:hAnsi="Arial" w:cs="Arial" w:hint="eastAsia"/>
          <w:sz w:val="28"/>
          <w:szCs w:val="28"/>
        </w:rPr>
        <w:t>採</w:t>
      </w:r>
      <w:proofErr w:type="gramEnd"/>
      <w:r w:rsidRPr="006E230E">
        <w:rPr>
          <w:rFonts w:ascii="Arial" w:eastAsia="標楷體" w:hAnsi="Arial" w:cs="Arial" w:hint="eastAsia"/>
          <w:sz w:val="28"/>
          <w:szCs w:val="28"/>
        </w:rPr>
        <w:t>關懷提問因應措施，提醒注意交易風險，以防範高齡客戶受詐騙</w:t>
      </w:r>
      <w:r w:rsidRPr="006E230E">
        <w:rPr>
          <w:rFonts w:ascii="Arial" w:eastAsia="標楷體" w:hAnsi="Arial" w:cs="Arial"/>
          <w:sz w:val="28"/>
          <w:szCs w:val="28"/>
        </w:rPr>
        <w:t>。</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第八條</w:t>
      </w:r>
      <w:r>
        <w:rPr>
          <w:rFonts w:ascii="Arial" w:eastAsia="標楷體" w:hAnsi="Arial" w:cs="Arial" w:hint="eastAsia"/>
          <w:sz w:val="28"/>
          <w:szCs w:val="28"/>
        </w:rPr>
        <w:t xml:space="preserve"> </w:t>
      </w:r>
      <w:r w:rsidRPr="007E376C">
        <w:rPr>
          <w:rFonts w:ascii="Arial" w:eastAsia="標楷體" w:hAnsi="Arial" w:cs="Arial" w:hint="eastAsia"/>
          <w:sz w:val="28"/>
          <w:szCs w:val="28"/>
        </w:rPr>
        <w:t>(</w:t>
      </w:r>
      <w:r w:rsidRPr="007E376C">
        <w:rPr>
          <w:rFonts w:ascii="Arial" w:eastAsia="標楷體" w:hAnsi="Arial" w:cs="Arial" w:hint="eastAsia"/>
          <w:sz w:val="28"/>
          <w:szCs w:val="28"/>
        </w:rPr>
        <w:t>非本人交易控管</w:t>
      </w:r>
      <w:r w:rsidRPr="007E376C">
        <w:rPr>
          <w:rFonts w:ascii="Arial" w:eastAsia="標楷體" w:hAnsi="Arial" w:cs="Arial" w:hint="eastAsia"/>
          <w:sz w:val="28"/>
          <w:szCs w:val="28"/>
        </w:rPr>
        <w:t>)</w:t>
      </w:r>
    </w:p>
    <w:p w:rsidR="00E80472" w:rsidRPr="007E376C" w:rsidRDefault="00E80472" w:rsidP="00E80472">
      <w:pPr>
        <w:adjustRightInd w:val="0"/>
        <w:snapToGrid w:val="0"/>
        <w:spacing w:afterLines="50" w:after="180" w:line="540" w:lineRule="exact"/>
        <w:jc w:val="both"/>
        <w:rPr>
          <w:rFonts w:ascii="Arial" w:eastAsia="標楷體" w:hAnsi="Arial" w:cs="Arial"/>
          <w:sz w:val="28"/>
          <w:szCs w:val="28"/>
        </w:rPr>
      </w:pPr>
      <w:r w:rsidRPr="007E376C">
        <w:rPr>
          <w:rFonts w:ascii="Arial" w:eastAsia="標楷體" w:hAnsi="Arial" w:cs="Arial" w:hint="eastAsia"/>
          <w:sz w:val="28"/>
          <w:szCs w:val="28"/>
        </w:rPr>
        <w:t>期貨信託事業應訂定高齡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以外他人代為指示交易時之相關管控措施，包括輔導高齡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委任授權交易、應確認代為指示人之身分。</w:t>
      </w:r>
    </w:p>
    <w:p w:rsidR="00E80472" w:rsidRPr="00E80472" w:rsidRDefault="00E80472" w:rsidP="00E80472">
      <w:pPr>
        <w:adjustRightInd w:val="0"/>
        <w:snapToGrid w:val="0"/>
        <w:spacing w:line="540" w:lineRule="exact"/>
        <w:jc w:val="both"/>
        <w:rPr>
          <w:rFonts w:ascii="Arial" w:eastAsia="標楷體" w:hAnsi="Arial" w:cs="Arial"/>
          <w:sz w:val="28"/>
          <w:szCs w:val="28"/>
        </w:rPr>
      </w:pPr>
      <w:r w:rsidRPr="00E80472">
        <w:rPr>
          <w:rFonts w:ascii="Arial" w:eastAsia="標楷體" w:hAnsi="Arial" w:cs="Arial"/>
          <w:sz w:val="28"/>
          <w:szCs w:val="28"/>
        </w:rPr>
        <w:t>第九條</w:t>
      </w:r>
      <w:r w:rsidRPr="00E80472">
        <w:rPr>
          <w:rFonts w:ascii="Arial" w:eastAsia="標楷體" w:hAnsi="Arial" w:cs="Arial"/>
          <w:sz w:val="28"/>
          <w:szCs w:val="28"/>
        </w:rPr>
        <w:t xml:space="preserve"> (</w:t>
      </w:r>
      <w:r w:rsidRPr="00E80472">
        <w:rPr>
          <w:rFonts w:ascii="Arial" w:eastAsia="標楷體" w:hAnsi="Arial" w:cs="Arial"/>
          <w:sz w:val="28"/>
          <w:szCs w:val="28"/>
        </w:rPr>
        <w:t>交易檢視及確認</w:t>
      </w:r>
      <w:r w:rsidRPr="00E80472">
        <w:rPr>
          <w:rFonts w:ascii="Arial" w:eastAsia="標楷體" w:hAnsi="Arial" w:cs="Arial"/>
          <w:sz w:val="28"/>
          <w:szCs w:val="28"/>
        </w:rPr>
        <w:t>)</w:t>
      </w:r>
    </w:p>
    <w:p w:rsidR="00E80472" w:rsidRPr="00E80472" w:rsidRDefault="00E80472" w:rsidP="00E80472">
      <w:pPr>
        <w:adjustRightInd w:val="0"/>
        <w:snapToGrid w:val="0"/>
        <w:spacing w:afterLines="50" w:after="180" w:line="540" w:lineRule="exact"/>
        <w:jc w:val="both"/>
        <w:rPr>
          <w:rFonts w:ascii="Arial" w:eastAsia="標楷體" w:hAnsi="Arial" w:cs="Arial"/>
          <w:sz w:val="28"/>
          <w:szCs w:val="28"/>
        </w:rPr>
      </w:pPr>
      <w:r w:rsidRPr="00E80472">
        <w:rPr>
          <w:rFonts w:ascii="Arial" w:eastAsia="標楷體" w:hAnsi="Arial" w:cs="Arial"/>
          <w:sz w:val="28"/>
          <w:szCs w:val="28"/>
        </w:rPr>
        <w:t>期貨服務事業應強化</w:t>
      </w:r>
      <w:proofErr w:type="gramStart"/>
      <w:r w:rsidRPr="00E80472">
        <w:rPr>
          <w:rFonts w:ascii="Arial" w:eastAsia="標楷體" w:hAnsi="Arial" w:cs="Arial"/>
          <w:sz w:val="28"/>
          <w:szCs w:val="28"/>
        </w:rPr>
        <w:t>銷售予經第三</w:t>
      </w:r>
      <w:proofErr w:type="gramEnd"/>
      <w:r w:rsidRPr="00E80472">
        <w:rPr>
          <w:rFonts w:ascii="Arial" w:eastAsia="標楷體" w:hAnsi="Arial" w:cs="Arial"/>
          <w:sz w:val="28"/>
          <w:szCs w:val="28"/>
        </w:rPr>
        <w:t>條</w:t>
      </w:r>
      <w:proofErr w:type="gramStart"/>
      <w:r w:rsidRPr="00E80472">
        <w:rPr>
          <w:rFonts w:ascii="Arial" w:eastAsia="標楷體" w:hAnsi="Arial" w:cs="Arial"/>
          <w:sz w:val="28"/>
          <w:szCs w:val="28"/>
        </w:rPr>
        <w:t>評估後屬弱勢</w:t>
      </w:r>
      <w:proofErr w:type="gramEnd"/>
      <w:r w:rsidRPr="00E80472">
        <w:rPr>
          <w:rFonts w:ascii="Arial" w:eastAsia="標楷體" w:hAnsi="Arial" w:cs="Arial"/>
          <w:sz w:val="28"/>
          <w:szCs w:val="28"/>
        </w:rPr>
        <w:t>高齡客戶之高風險商品交易檢視或確認機制，如建立交易前控管</w:t>
      </w:r>
      <w:r w:rsidRPr="00E80472">
        <w:rPr>
          <w:rFonts w:ascii="Arial" w:eastAsia="標楷體" w:hAnsi="Arial" w:cs="Arial"/>
          <w:sz w:val="28"/>
          <w:szCs w:val="28"/>
        </w:rPr>
        <w:t>(</w:t>
      </w:r>
      <w:r w:rsidRPr="00E80472">
        <w:rPr>
          <w:rFonts w:ascii="Arial" w:eastAsia="標楷體" w:hAnsi="Arial" w:cs="Arial"/>
          <w:sz w:val="28"/>
          <w:szCs w:val="28"/>
        </w:rPr>
        <w:t>由業務人員以外員工執行交易或經高階主管核准或以電腦系統控管</w:t>
      </w:r>
      <w:r w:rsidRPr="00E80472">
        <w:rPr>
          <w:rFonts w:ascii="Arial" w:eastAsia="標楷體" w:hAnsi="Arial" w:cs="Arial"/>
          <w:sz w:val="28"/>
          <w:szCs w:val="28"/>
        </w:rPr>
        <w:t>)</w:t>
      </w:r>
      <w:r w:rsidRPr="00E80472">
        <w:rPr>
          <w:rFonts w:ascii="Arial" w:eastAsia="標楷體" w:hAnsi="Arial" w:cs="Arial"/>
          <w:sz w:val="28"/>
          <w:szCs w:val="28"/>
        </w:rPr>
        <w:t>。</w:t>
      </w:r>
    </w:p>
    <w:p w:rsidR="00E80472" w:rsidRPr="00E80472" w:rsidRDefault="00E80472" w:rsidP="00E80472">
      <w:pPr>
        <w:adjustRightInd w:val="0"/>
        <w:snapToGrid w:val="0"/>
        <w:spacing w:line="540" w:lineRule="exact"/>
        <w:jc w:val="both"/>
        <w:rPr>
          <w:rFonts w:ascii="Arial" w:eastAsia="標楷體" w:hAnsi="Arial" w:cs="Arial"/>
          <w:sz w:val="28"/>
          <w:szCs w:val="28"/>
        </w:rPr>
      </w:pPr>
      <w:r w:rsidRPr="00E80472">
        <w:rPr>
          <w:rFonts w:ascii="Arial" w:eastAsia="標楷體" w:hAnsi="Arial" w:cs="Arial"/>
          <w:sz w:val="28"/>
          <w:szCs w:val="28"/>
        </w:rPr>
        <w:lastRenderedPageBreak/>
        <w:t>前項所稱弱勢高齡客戶，係指經第三條評估後，具弱點之高齡客戶；高風險商品係指依本公會「期貨信託事業內部控制制度標準規範」之基金適合度政策：期貨信託基金客戶分類及期貨信託基金風險分類標準所歸類之高風險商品。</w:t>
      </w:r>
    </w:p>
    <w:p w:rsidR="00E80472" w:rsidRPr="00E80472" w:rsidRDefault="00E80472" w:rsidP="00E80472">
      <w:pPr>
        <w:adjustRightInd w:val="0"/>
        <w:snapToGrid w:val="0"/>
        <w:spacing w:line="540" w:lineRule="exact"/>
        <w:jc w:val="both"/>
        <w:rPr>
          <w:rFonts w:ascii="Arial" w:eastAsia="標楷體" w:hAnsi="Arial" w:cs="Arial"/>
          <w:sz w:val="28"/>
          <w:szCs w:val="28"/>
        </w:rPr>
      </w:pPr>
      <w:r w:rsidRPr="00E80472">
        <w:rPr>
          <w:rFonts w:ascii="Arial" w:eastAsia="標楷體" w:hAnsi="Arial" w:cs="Arial"/>
          <w:sz w:val="28"/>
          <w:szCs w:val="28"/>
        </w:rPr>
        <w:t>期貨經理事業於期貨交易全權委任契約存續</w:t>
      </w:r>
      <w:proofErr w:type="gramStart"/>
      <w:r w:rsidRPr="00E80472">
        <w:rPr>
          <w:rFonts w:ascii="Arial" w:eastAsia="標楷體" w:hAnsi="Arial" w:cs="Arial"/>
          <w:sz w:val="28"/>
          <w:szCs w:val="28"/>
        </w:rPr>
        <w:t>期間，</w:t>
      </w:r>
      <w:proofErr w:type="gramEnd"/>
      <w:r w:rsidRPr="00E80472">
        <w:rPr>
          <w:rFonts w:ascii="Arial" w:eastAsia="標楷體" w:hAnsi="Arial" w:cs="Arial"/>
          <w:sz w:val="28"/>
          <w:szCs w:val="28"/>
        </w:rPr>
        <w:t>應與高齡客戶經常聯繫，隨時注意及掌握高齡客戶財務狀況及風險承受程度等因素之變化，並與高齡客戶每年至少進行一次訪談，以修正或補充高齡客戶資料表內容，作為未來交易決定之參考，並留存備查。</w:t>
      </w:r>
    </w:p>
    <w:p w:rsidR="00E80472" w:rsidRPr="00E80472" w:rsidRDefault="00E80472" w:rsidP="00E80472">
      <w:pPr>
        <w:adjustRightInd w:val="0"/>
        <w:snapToGrid w:val="0"/>
        <w:spacing w:line="540" w:lineRule="exact"/>
        <w:jc w:val="both"/>
        <w:rPr>
          <w:rFonts w:ascii="Arial" w:eastAsia="標楷體" w:hAnsi="Arial" w:cs="Arial"/>
          <w:sz w:val="28"/>
          <w:szCs w:val="28"/>
        </w:rPr>
      </w:pPr>
      <w:r w:rsidRPr="00E80472">
        <w:rPr>
          <w:rFonts w:ascii="Arial" w:eastAsia="標楷體" w:hAnsi="Arial" w:cs="Arial"/>
          <w:sz w:val="28"/>
          <w:szCs w:val="28"/>
        </w:rPr>
        <w:t>期貨信託事業於</w:t>
      </w:r>
      <w:r w:rsidRPr="00E80472">
        <w:rPr>
          <w:rFonts w:ascii="Arial" w:eastAsia="標楷體" w:hAnsi="Arial" w:cs="Arial" w:hint="eastAsia"/>
          <w:sz w:val="28"/>
          <w:szCs w:val="28"/>
        </w:rPr>
        <w:t>弱勢</w:t>
      </w:r>
      <w:r w:rsidRPr="00E80472">
        <w:rPr>
          <w:rFonts w:ascii="Arial" w:eastAsia="標楷體" w:hAnsi="Arial" w:cs="Arial"/>
          <w:sz w:val="28"/>
          <w:szCs w:val="28"/>
        </w:rPr>
        <w:t>高齡客戶從事金融商品交易，遇下列情形之一時，應辦理交易後回訪：</w:t>
      </w:r>
    </w:p>
    <w:p w:rsidR="00E80472" w:rsidRPr="00E80472" w:rsidRDefault="00E80472" w:rsidP="00E80472">
      <w:pPr>
        <w:adjustRightInd w:val="0"/>
        <w:snapToGrid w:val="0"/>
        <w:spacing w:line="540" w:lineRule="exact"/>
        <w:jc w:val="both"/>
        <w:rPr>
          <w:rFonts w:ascii="Arial" w:eastAsia="標楷體" w:hAnsi="Arial" w:cs="Arial"/>
          <w:sz w:val="28"/>
          <w:szCs w:val="28"/>
        </w:rPr>
      </w:pPr>
      <w:r w:rsidRPr="00E80472">
        <w:rPr>
          <w:rFonts w:ascii="Arial" w:eastAsia="標楷體" w:hAnsi="Arial" w:cs="Arial"/>
          <w:sz w:val="28"/>
          <w:szCs w:val="28"/>
        </w:rPr>
        <w:t>一、高風險基金定期定額等事先約定條件之投資新增扣款額度或頻率。</w:t>
      </w:r>
    </w:p>
    <w:p w:rsidR="00E80472" w:rsidRPr="007E376C" w:rsidRDefault="00E80472" w:rsidP="00E80472">
      <w:pPr>
        <w:adjustRightInd w:val="0"/>
        <w:snapToGrid w:val="0"/>
        <w:spacing w:afterLines="50" w:after="180" w:line="540" w:lineRule="exact"/>
        <w:jc w:val="both"/>
        <w:rPr>
          <w:rFonts w:ascii="Arial" w:eastAsia="標楷體" w:hAnsi="Arial" w:cs="Arial"/>
          <w:sz w:val="28"/>
          <w:szCs w:val="28"/>
        </w:rPr>
      </w:pPr>
      <w:r w:rsidRPr="00E80472">
        <w:rPr>
          <w:rFonts w:ascii="Arial" w:eastAsia="標楷體" w:hAnsi="Arial" w:cs="Arial"/>
          <w:sz w:val="28"/>
          <w:szCs w:val="28"/>
        </w:rPr>
        <w:t>二、新增高風險定期定額等事先約定條件之投資契約或</w:t>
      </w:r>
      <w:proofErr w:type="gramStart"/>
      <w:r w:rsidRPr="00E80472">
        <w:rPr>
          <w:rFonts w:ascii="Arial" w:eastAsia="標楷體" w:hAnsi="Arial" w:cs="Arial"/>
          <w:sz w:val="28"/>
          <w:szCs w:val="28"/>
        </w:rPr>
        <w:t>單筆新申購</w:t>
      </w:r>
      <w:proofErr w:type="gramEnd"/>
      <w:r w:rsidRPr="00E80472">
        <w:rPr>
          <w:rFonts w:ascii="Arial" w:eastAsia="標楷體" w:hAnsi="Arial" w:cs="Arial"/>
          <w:sz w:val="28"/>
          <w:szCs w:val="28"/>
        </w:rPr>
        <w:t>。</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w:t>
      </w:r>
      <w:r>
        <w:rPr>
          <w:rFonts w:ascii="Arial" w:eastAsia="標楷體" w:hAnsi="Arial" w:cs="Arial" w:hint="eastAsia"/>
          <w:sz w:val="28"/>
          <w:szCs w:val="28"/>
        </w:rPr>
        <w:t>十</w:t>
      </w:r>
      <w:r w:rsidRPr="007E376C">
        <w:rPr>
          <w:rFonts w:ascii="Arial" w:eastAsia="標楷體" w:hAnsi="Arial" w:cs="Arial" w:hint="eastAsia"/>
          <w:sz w:val="28"/>
          <w:szCs w:val="28"/>
        </w:rPr>
        <w:t>條</w:t>
      </w:r>
      <w:r>
        <w:rPr>
          <w:rFonts w:ascii="Arial" w:eastAsia="標楷體" w:hAnsi="Arial" w:cs="Arial" w:hint="eastAsia"/>
          <w:sz w:val="28"/>
          <w:szCs w:val="28"/>
        </w:rPr>
        <w:t xml:space="preserve"> </w:t>
      </w:r>
      <w:r w:rsidRPr="007E376C">
        <w:rPr>
          <w:rFonts w:ascii="Arial" w:eastAsia="標楷體" w:hAnsi="Arial" w:cs="Arial" w:hint="eastAsia"/>
          <w:sz w:val="28"/>
          <w:szCs w:val="28"/>
        </w:rPr>
        <w:t>(</w:t>
      </w:r>
      <w:r w:rsidRPr="007E376C">
        <w:rPr>
          <w:rFonts w:ascii="Arial" w:eastAsia="標楷體" w:hAnsi="Arial" w:cs="Arial" w:hint="eastAsia"/>
          <w:sz w:val="28"/>
          <w:szCs w:val="28"/>
        </w:rPr>
        <w:t>交易監控及查核</w:t>
      </w:r>
      <w:r w:rsidRPr="007E376C">
        <w:rPr>
          <w:rFonts w:ascii="Arial" w:eastAsia="標楷體" w:hAnsi="Arial" w:cs="Arial" w:hint="eastAsia"/>
          <w:sz w:val="28"/>
          <w:szCs w:val="28"/>
        </w:rPr>
        <w:t>)</w:t>
      </w:r>
    </w:p>
    <w:p w:rsidR="00E80472" w:rsidRPr="007E376C" w:rsidRDefault="00E80472" w:rsidP="00E80472">
      <w:pPr>
        <w:adjustRightInd w:val="0"/>
        <w:snapToGrid w:val="0"/>
        <w:spacing w:afterLines="50" w:after="180" w:line="540" w:lineRule="exact"/>
        <w:jc w:val="both"/>
        <w:rPr>
          <w:rFonts w:ascii="Arial" w:eastAsia="標楷體" w:hAnsi="Arial" w:cs="Arial"/>
          <w:sz w:val="28"/>
          <w:szCs w:val="28"/>
        </w:rPr>
      </w:pPr>
      <w:r w:rsidRPr="007E376C">
        <w:rPr>
          <w:rFonts w:ascii="Arial" w:eastAsia="標楷體" w:hAnsi="Arial" w:cs="Arial" w:hint="eastAsia"/>
          <w:sz w:val="28"/>
          <w:szCs w:val="28"/>
        </w:rPr>
        <w:t>期貨服務事業應建立適用高齡</w:t>
      </w:r>
      <w:r w:rsidRPr="007E376C">
        <w:rPr>
          <w:rFonts w:ascii="Arial" w:eastAsia="標楷體" w:hAnsi="Arial" w:cs="Arial" w:hint="eastAsia"/>
          <w:sz w:val="30"/>
          <w:szCs w:val="30"/>
        </w:rPr>
        <w:t>客戶</w:t>
      </w:r>
      <w:r w:rsidRPr="007E376C">
        <w:rPr>
          <w:rFonts w:ascii="Arial" w:eastAsia="標楷體" w:hAnsi="Arial" w:cs="Arial" w:hint="eastAsia"/>
          <w:sz w:val="28"/>
          <w:szCs w:val="28"/>
        </w:rPr>
        <w:t>之交易監控</w:t>
      </w:r>
      <w:r w:rsidRPr="007E376C">
        <w:rPr>
          <w:rFonts w:ascii="Arial" w:eastAsia="標楷體" w:hAnsi="Arial" w:cs="Arial"/>
          <w:sz w:val="28"/>
          <w:szCs w:val="28"/>
        </w:rPr>
        <w:t>(</w:t>
      </w:r>
      <w:r w:rsidRPr="007E376C">
        <w:rPr>
          <w:rFonts w:ascii="Arial" w:eastAsia="標楷體" w:hAnsi="Arial" w:cs="Arial"/>
          <w:sz w:val="28"/>
          <w:szCs w:val="28"/>
        </w:rPr>
        <w:t>如：鉅額資金或資產移轉、投資組合集中高風險商品、突然提高風險等級後購買高風險商品等</w:t>
      </w:r>
      <w:r w:rsidRPr="007E376C">
        <w:rPr>
          <w:rFonts w:ascii="Arial" w:eastAsia="標楷體" w:hAnsi="Arial" w:cs="Arial"/>
          <w:sz w:val="28"/>
          <w:szCs w:val="28"/>
        </w:rPr>
        <w:t>)</w:t>
      </w:r>
      <w:r w:rsidRPr="007E376C">
        <w:rPr>
          <w:rFonts w:ascii="Arial" w:eastAsia="標楷體" w:hAnsi="Arial" w:cs="Arial" w:hint="eastAsia"/>
          <w:sz w:val="28"/>
          <w:szCs w:val="28"/>
        </w:rPr>
        <w:t>及加強查核機制</w:t>
      </w:r>
      <w:r w:rsidRPr="007E376C">
        <w:rPr>
          <w:rFonts w:ascii="Arial" w:eastAsia="標楷體" w:hAnsi="Arial" w:cs="Arial"/>
          <w:sz w:val="28"/>
          <w:szCs w:val="28"/>
        </w:rPr>
        <w:t>(</w:t>
      </w:r>
      <w:r w:rsidRPr="007E376C">
        <w:rPr>
          <w:rFonts w:ascii="Arial" w:eastAsia="標楷體" w:hAnsi="Arial" w:cs="Arial"/>
          <w:sz w:val="28"/>
          <w:szCs w:val="28"/>
        </w:rPr>
        <w:t>自行查核與內部稽核</w:t>
      </w:r>
      <w:r w:rsidRPr="007E376C">
        <w:rPr>
          <w:rFonts w:ascii="Arial" w:eastAsia="標楷體" w:hAnsi="Arial" w:cs="Arial"/>
          <w:sz w:val="28"/>
          <w:szCs w:val="28"/>
        </w:rPr>
        <w:t>)</w:t>
      </w:r>
      <w:r w:rsidRPr="007E376C">
        <w:rPr>
          <w:rFonts w:ascii="Arial" w:eastAsia="標楷體" w:hAnsi="Arial" w:cs="Arial" w:hint="eastAsia"/>
          <w:sz w:val="28"/>
          <w:szCs w:val="28"/>
        </w:rPr>
        <w:t>，</w:t>
      </w:r>
      <w:r w:rsidRPr="007E376C">
        <w:rPr>
          <w:rFonts w:ascii="Arial" w:eastAsia="標楷體" w:hAnsi="Arial" w:cs="Arial"/>
          <w:sz w:val="28"/>
          <w:szCs w:val="28"/>
        </w:rPr>
        <w:t>以及早辨識異常交易</w:t>
      </w:r>
      <w:r w:rsidRPr="007E376C">
        <w:rPr>
          <w:rFonts w:ascii="Arial" w:eastAsia="標楷體" w:hAnsi="Arial" w:cs="Arial" w:hint="eastAsia"/>
          <w:sz w:val="28"/>
          <w:szCs w:val="28"/>
        </w:rPr>
        <w:t>。</w:t>
      </w:r>
    </w:p>
    <w:p w:rsidR="00E80472" w:rsidRPr="007E376C" w:rsidRDefault="00E80472" w:rsidP="00E80472">
      <w:pPr>
        <w:adjustRightInd w:val="0"/>
        <w:snapToGrid w:val="0"/>
        <w:spacing w:line="540" w:lineRule="exact"/>
        <w:jc w:val="both"/>
        <w:rPr>
          <w:rFonts w:ascii="Arial" w:eastAsia="標楷體" w:hAnsi="Arial" w:cs="Arial"/>
          <w:sz w:val="28"/>
          <w:szCs w:val="28"/>
        </w:rPr>
      </w:pPr>
      <w:r w:rsidRPr="007E376C">
        <w:rPr>
          <w:rFonts w:ascii="Arial" w:eastAsia="標楷體" w:hAnsi="Arial" w:cs="Arial" w:hint="eastAsia"/>
          <w:sz w:val="28"/>
          <w:szCs w:val="28"/>
        </w:rPr>
        <w:t>第十</w:t>
      </w:r>
      <w:r>
        <w:rPr>
          <w:rFonts w:ascii="Arial" w:eastAsia="標楷體" w:hAnsi="Arial" w:cs="Arial" w:hint="eastAsia"/>
          <w:sz w:val="28"/>
          <w:szCs w:val="28"/>
        </w:rPr>
        <w:t>一</w:t>
      </w:r>
      <w:r w:rsidRPr="007E376C">
        <w:rPr>
          <w:rFonts w:ascii="Arial" w:eastAsia="標楷體" w:hAnsi="Arial" w:cs="Arial" w:hint="eastAsia"/>
          <w:sz w:val="28"/>
          <w:szCs w:val="28"/>
        </w:rPr>
        <w:t>條</w:t>
      </w:r>
      <w:r>
        <w:rPr>
          <w:rFonts w:ascii="Arial" w:eastAsia="標楷體" w:hAnsi="Arial" w:cs="Arial" w:hint="eastAsia"/>
          <w:sz w:val="28"/>
          <w:szCs w:val="28"/>
        </w:rPr>
        <w:t xml:space="preserve"> </w:t>
      </w:r>
      <w:r w:rsidRPr="007E376C">
        <w:rPr>
          <w:rFonts w:ascii="Arial" w:eastAsia="標楷體" w:hAnsi="Arial" w:cs="Arial" w:hint="eastAsia"/>
          <w:sz w:val="28"/>
          <w:szCs w:val="28"/>
        </w:rPr>
        <w:t>(</w:t>
      </w:r>
      <w:r w:rsidRPr="007E376C">
        <w:rPr>
          <w:rFonts w:ascii="Arial" w:eastAsia="標楷體" w:hAnsi="Arial" w:cs="Arial" w:hint="eastAsia"/>
          <w:sz w:val="28"/>
          <w:szCs w:val="28"/>
        </w:rPr>
        <w:t>施行程序</w:t>
      </w:r>
      <w:r w:rsidRPr="007E376C">
        <w:rPr>
          <w:rFonts w:ascii="Arial" w:eastAsia="標楷體" w:hAnsi="Arial" w:cs="Arial" w:hint="eastAsia"/>
          <w:sz w:val="28"/>
          <w:szCs w:val="28"/>
        </w:rPr>
        <w:t>)</w:t>
      </w:r>
    </w:p>
    <w:p w:rsidR="00E80472" w:rsidRDefault="00E80472" w:rsidP="00E80472">
      <w:pPr>
        <w:widowControl/>
        <w:snapToGrid w:val="0"/>
        <w:spacing w:afterLines="50" w:after="180" w:line="500" w:lineRule="exact"/>
        <w:jc w:val="both"/>
        <w:rPr>
          <w:rFonts w:ascii="Arial" w:eastAsia="標楷體" w:hAnsi="Arial" w:cs="Arial"/>
          <w:sz w:val="28"/>
          <w:szCs w:val="28"/>
        </w:rPr>
      </w:pPr>
      <w:r w:rsidRPr="007E376C">
        <w:rPr>
          <w:rFonts w:ascii="Arial" w:eastAsia="標楷體" w:hAnsi="Arial" w:cs="Arial" w:hint="eastAsia"/>
          <w:sz w:val="28"/>
          <w:szCs w:val="28"/>
        </w:rPr>
        <w:t>本準則經本公會理事會會議通過，並報請主管機關核備後施行，修正時亦同。</w:t>
      </w:r>
    </w:p>
    <w:p w:rsidR="004D43D7" w:rsidRDefault="004D43D7">
      <w:pPr>
        <w:widowControl/>
        <w:rPr>
          <w:rFonts w:ascii="Arial" w:eastAsia="標楷體" w:hAnsi="Arial" w:cs="Arial"/>
          <w:sz w:val="28"/>
          <w:szCs w:val="28"/>
        </w:rPr>
      </w:pPr>
      <w:r>
        <w:rPr>
          <w:rFonts w:ascii="Arial" w:eastAsia="標楷體" w:hAnsi="Arial" w:cs="Arial"/>
          <w:sz w:val="28"/>
          <w:szCs w:val="28"/>
        </w:rPr>
        <w:br w:type="page"/>
      </w:r>
    </w:p>
    <w:p w:rsidR="004F1B32" w:rsidRPr="00842B48" w:rsidRDefault="004F1B32" w:rsidP="004F1B32">
      <w:pPr>
        <w:widowControl/>
        <w:snapToGrid w:val="0"/>
        <w:spacing w:afterLines="50" w:after="180" w:line="500" w:lineRule="exact"/>
        <w:jc w:val="both"/>
        <w:rPr>
          <w:rFonts w:ascii="Arial" w:eastAsia="標楷體" w:hAnsi="Arial" w:cs="Arial"/>
          <w:sz w:val="22"/>
        </w:rPr>
      </w:pPr>
      <w:bookmarkStart w:id="0" w:name="_GoBack"/>
      <w:bookmarkEnd w:id="0"/>
      <w:r w:rsidRPr="00661673">
        <w:rPr>
          <w:rFonts w:ascii="Arial" w:eastAsia="標楷體" w:hAnsi="Arial" w:cs="Arial"/>
          <w:sz w:val="28"/>
          <w:szCs w:val="28"/>
        </w:rPr>
        <w:lastRenderedPageBreak/>
        <w:t>中華民國期貨業商業同業公會期貨服務事業</w:t>
      </w:r>
      <w:r w:rsidRPr="00661673">
        <w:rPr>
          <w:rFonts w:ascii="Arial" w:eastAsia="標楷體" w:hAnsi="Arial" w:cs="Arial" w:hint="eastAsia"/>
          <w:sz w:val="28"/>
          <w:szCs w:val="28"/>
        </w:rPr>
        <w:t>辦理高齡</w:t>
      </w:r>
      <w:r w:rsidRPr="003626F1">
        <w:rPr>
          <w:rFonts w:ascii="Arial" w:eastAsia="標楷體" w:hAnsi="Arial" w:cs="Arial" w:hint="eastAsia"/>
          <w:sz w:val="28"/>
          <w:szCs w:val="28"/>
        </w:rPr>
        <w:t>客戶金</w:t>
      </w:r>
      <w:r w:rsidRPr="00661673">
        <w:rPr>
          <w:rFonts w:ascii="Arial" w:eastAsia="標楷體" w:hAnsi="Arial" w:cs="Arial" w:hint="eastAsia"/>
          <w:sz w:val="28"/>
          <w:szCs w:val="28"/>
        </w:rPr>
        <w:t>融商品或服務適合度評估準則</w:t>
      </w:r>
      <w:r>
        <w:rPr>
          <w:rFonts w:ascii="Arial" w:eastAsia="標楷體" w:hAnsi="Arial" w:cs="Arial" w:hint="eastAsia"/>
          <w:sz w:val="28"/>
          <w:szCs w:val="28"/>
        </w:rPr>
        <w:t>第九條修正</w:t>
      </w:r>
      <w:r w:rsidRPr="00661673">
        <w:rPr>
          <w:rFonts w:ascii="Arial" w:eastAsia="標楷體" w:hAnsi="Arial" w:cs="Arial"/>
          <w:color w:val="000000" w:themeColor="text1"/>
          <w:sz w:val="28"/>
          <w:szCs w:val="28"/>
        </w:rPr>
        <w:t>對照表</w:t>
      </w:r>
    </w:p>
    <w:tbl>
      <w:tblPr>
        <w:tblStyle w:val="a3"/>
        <w:tblW w:w="9155" w:type="dxa"/>
        <w:tblInd w:w="-383" w:type="dxa"/>
        <w:tblLook w:val="04A0" w:firstRow="1" w:lastRow="0" w:firstColumn="1" w:lastColumn="0" w:noHBand="0" w:noVBand="1"/>
      </w:tblPr>
      <w:tblGrid>
        <w:gridCol w:w="2288"/>
        <w:gridCol w:w="2289"/>
        <w:gridCol w:w="2289"/>
        <w:gridCol w:w="2289"/>
      </w:tblGrid>
      <w:tr w:rsidR="004F1B32" w:rsidRPr="00125E01" w:rsidTr="003B15A5">
        <w:trPr>
          <w:tblHeader/>
        </w:trPr>
        <w:tc>
          <w:tcPr>
            <w:tcW w:w="2288" w:type="dxa"/>
          </w:tcPr>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證券投資信託事業證券投資顧問事業辦理高齡金融消費者金融商品或服務適合度評估準則第九條</w:t>
            </w:r>
          </w:p>
        </w:tc>
        <w:tc>
          <w:tcPr>
            <w:tcW w:w="2289" w:type="dxa"/>
          </w:tcPr>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修正後期貨服務事業辦理高齡客戶金融商品或服務適合度評估準則第九條</w:t>
            </w:r>
          </w:p>
        </w:tc>
        <w:tc>
          <w:tcPr>
            <w:tcW w:w="2289" w:type="dxa"/>
          </w:tcPr>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修正</w:t>
            </w:r>
            <w:r>
              <w:rPr>
                <w:rFonts w:ascii="Arial" w:eastAsia="標楷體" w:hAnsi="Arial" w:cs="Arial" w:hint="eastAsia"/>
                <w:sz w:val="26"/>
                <w:szCs w:val="26"/>
              </w:rPr>
              <w:t>前</w:t>
            </w:r>
            <w:r w:rsidRPr="00125E01">
              <w:rPr>
                <w:rFonts w:ascii="Arial" w:eastAsia="標楷體" w:hAnsi="Arial" w:cs="Arial"/>
                <w:sz w:val="26"/>
                <w:szCs w:val="26"/>
              </w:rPr>
              <w:t>期貨服務事業辦理高齡客戶金融商品或服務適合度評估準則第九條</w:t>
            </w:r>
          </w:p>
        </w:tc>
        <w:tc>
          <w:tcPr>
            <w:tcW w:w="2289" w:type="dxa"/>
            <w:vAlign w:val="center"/>
          </w:tcPr>
          <w:p w:rsidR="004F1B32" w:rsidRPr="00125E01" w:rsidRDefault="004F1B32" w:rsidP="003B15A5">
            <w:pPr>
              <w:adjustRightInd w:val="0"/>
              <w:snapToGrid w:val="0"/>
              <w:spacing w:line="360" w:lineRule="exact"/>
              <w:jc w:val="center"/>
              <w:rPr>
                <w:rFonts w:ascii="Arial" w:eastAsia="標楷體" w:hAnsi="Arial" w:cs="Arial"/>
                <w:sz w:val="26"/>
                <w:szCs w:val="26"/>
              </w:rPr>
            </w:pPr>
            <w:r w:rsidRPr="00125E01">
              <w:rPr>
                <w:rFonts w:ascii="Arial" w:eastAsia="標楷體" w:hAnsi="Arial" w:cs="Arial"/>
                <w:sz w:val="26"/>
                <w:szCs w:val="26"/>
              </w:rPr>
              <w:t>說明</w:t>
            </w:r>
          </w:p>
        </w:tc>
      </w:tr>
      <w:tr w:rsidR="004F1B32" w:rsidRPr="00125E01" w:rsidTr="003B15A5">
        <w:tc>
          <w:tcPr>
            <w:tcW w:w="2288" w:type="dxa"/>
          </w:tcPr>
          <w:p w:rsidR="004F1B32" w:rsidRPr="00101A17" w:rsidRDefault="004F1B32" w:rsidP="003B15A5">
            <w:pPr>
              <w:adjustRightInd w:val="0"/>
              <w:snapToGrid w:val="0"/>
              <w:spacing w:line="340" w:lineRule="exact"/>
              <w:ind w:hanging="2"/>
              <w:jc w:val="both"/>
              <w:rPr>
                <w:rFonts w:ascii="Arial" w:eastAsia="標楷體" w:hAnsi="Arial" w:cs="Arial"/>
                <w:sz w:val="26"/>
                <w:szCs w:val="26"/>
              </w:rPr>
            </w:pPr>
            <w:r w:rsidRPr="00101A17">
              <w:rPr>
                <w:rFonts w:ascii="Arial" w:eastAsia="標楷體" w:hAnsi="Arial" w:cs="Arial" w:hint="eastAsia"/>
                <w:sz w:val="26"/>
                <w:szCs w:val="26"/>
              </w:rPr>
              <w:t>第三條</w:t>
            </w:r>
            <w:r w:rsidRPr="00101A17">
              <w:rPr>
                <w:rFonts w:ascii="Arial" w:eastAsia="標楷體" w:hAnsi="Arial" w:cs="Arial" w:hint="eastAsia"/>
                <w:sz w:val="26"/>
                <w:szCs w:val="26"/>
              </w:rPr>
              <w:t>(</w:t>
            </w:r>
            <w:r w:rsidRPr="00101A17">
              <w:rPr>
                <w:rFonts w:ascii="Arial" w:eastAsia="標楷體" w:hAnsi="Arial" w:cs="Arial"/>
                <w:sz w:val="26"/>
                <w:szCs w:val="26"/>
              </w:rPr>
              <w:t>KYC</w:t>
            </w:r>
            <w:r w:rsidRPr="00101A17">
              <w:rPr>
                <w:rFonts w:ascii="Arial" w:eastAsia="標楷體" w:hAnsi="Arial" w:cs="Arial"/>
                <w:sz w:val="26"/>
                <w:szCs w:val="26"/>
              </w:rPr>
              <w:t>作業</w:t>
            </w:r>
            <w:r w:rsidRPr="00101A17">
              <w:rPr>
                <w:rFonts w:ascii="Arial" w:eastAsia="標楷體" w:hAnsi="Arial" w:cs="Arial" w:hint="eastAsia"/>
                <w:sz w:val="26"/>
                <w:szCs w:val="26"/>
              </w:rPr>
              <w:t>)</w:t>
            </w:r>
          </w:p>
          <w:p w:rsidR="004F1B32" w:rsidRPr="00101A17" w:rsidRDefault="004F1B32" w:rsidP="003B15A5">
            <w:pPr>
              <w:adjustRightInd w:val="0"/>
              <w:snapToGrid w:val="0"/>
              <w:spacing w:line="340" w:lineRule="exact"/>
              <w:ind w:hanging="2"/>
              <w:jc w:val="both"/>
              <w:rPr>
                <w:rFonts w:ascii="Arial" w:eastAsia="標楷體" w:hAnsi="Arial" w:cs="Arial"/>
                <w:sz w:val="26"/>
                <w:szCs w:val="26"/>
              </w:rPr>
            </w:pPr>
            <w:r w:rsidRPr="00101A17">
              <w:rPr>
                <w:rFonts w:ascii="Arial" w:eastAsia="標楷體" w:hAnsi="Arial" w:cs="Arial" w:hint="eastAsia"/>
                <w:sz w:val="26"/>
                <w:szCs w:val="26"/>
              </w:rPr>
              <w:t>為有效評估高齡金融消費者是否有弱點</w:t>
            </w:r>
            <w:r w:rsidRPr="00101A17">
              <w:rPr>
                <w:rFonts w:ascii="Arial" w:eastAsia="標楷體" w:hAnsi="Arial" w:cs="Arial" w:hint="eastAsia"/>
                <w:sz w:val="26"/>
                <w:szCs w:val="26"/>
              </w:rPr>
              <w:t>(vulnerability)</w:t>
            </w:r>
            <w:r w:rsidRPr="00101A17">
              <w:rPr>
                <w:rFonts w:ascii="Arial" w:eastAsia="標楷體" w:hAnsi="Arial" w:cs="Arial" w:hint="eastAsia"/>
                <w:sz w:val="26"/>
                <w:szCs w:val="26"/>
              </w:rPr>
              <w:t>，本公會會員向高齡金融消費者提供金融商品或服務時，應有符合高齡金融消費者之風險承受度評估項目。</w:t>
            </w:r>
          </w:p>
          <w:p w:rsidR="004F1B32" w:rsidRPr="00101A17" w:rsidRDefault="004F1B32" w:rsidP="003B15A5">
            <w:pPr>
              <w:adjustRightInd w:val="0"/>
              <w:snapToGrid w:val="0"/>
              <w:spacing w:line="340" w:lineRule="exact"/>
              <w:jc w:val="both"/>
              <w:rPr>
                <w:rFonts w:ascii="Arial" w:eastAsia="標楷體" w:hAnsi="Arial" w:cs="Arial"/>
                <w:kern w:val="3"/>
                <w:sz w:val="26"/>
                <w:szCs w:val="26"/>
              </w:rPr>
            </w:pPr>
            <w:proofErr w:type="gramStart"/>
            <w:r w:rsidRPr="00101A17">
              <w:rPr>
                <w:rFonts w:ascii="Arial" w:eastAsia="標楷體" w:hAnsi="Arial" w:cs="Arial" w:hint="eastAsia"/>
                <w:sz w:val="26"/>
                <w:szCs w:val="26"/>
              </w:rPr>
              <w:t>倘本公會</w:t>
            </w:r>
            <w:proofErr w:type="gramEnd"/>
            <w:r w:rsidRPr="00101A17">
              <w:rPr>
                <w:rFonts w:ascii="Arial" w:eastAsia="標楷體" w:hAnsi="Arial" w:cs="Arial" w:hint="eastAsia"/>
                <w:sz w:val="26"/>
                <w:szCs w:val="26"/>
              </w:rPr>
              <w:t>會員於辦理定期更新基金適合度評估時發現高齡金融消費者風險承受度變更，致未符合原定期定額投資之基金風險等級時，仍得依原約定條件辦理定期定額投資作業，惟不得新增扣款額度或頻率。</w:t>
            </w:r>
          </w:p>
        </w:tc>
        <w:tc>
          <w:tcPr>
            <w:tcW w:w="2289" w:type="dxa"/>
          </w:tcPr>
          <w:p w:rsidR="004F1B32" w:rsidRPr="00101A17" w:rsidRDefault="004F1B32" w:rsidP="003B15A5">
            <w:pPr>
              <w:adjustRightInd w:val="0"/>
              <w:snapToGrid w:val="0"/>
              <w:spacing w:line="340" w:lineRule="exact"/>
              <w:ind w:hanging="2"/>
              <w:jc w:val="both"/>
              <w:rPr>
                <w:rFonts w:ascii="Arial" w:eastAsia="標楷體" w:hAnsi="Arial" w:cs="Arial"/>
                <w:sz w:val="26"/>
                <w:szCs w:val="26"/>
              </w:rPr>
            </w:pPr>
            <w:r w:rsidRPr="00101A17">
              <w:rPr>
                <w:rFonts w:ascii="Arial" w:eastAsia="標楷體" w:hAnsi="Arial" w:cs="Arial" w:hint="eastAsia"/>
                <w:sz w:val="26"/>
                <w:szCs w:val="26"/>
              </w:rPr>
              <w:t>第三條</w:t>
            </w:r>
            <w:r w:rsidRPr="00101A17">
              <w:rPr>
                <w:rFonts w:ascii="Arial" w:eastAsia="標楷體" w:hAnsi="Arial" w:cs="Arial" w:hint="eastAsia"/>
                <w:sz w:val="26"/>
                <w:szCs w:val="26"/>
              </w:rPr>
              <w:t>(K</w:t>
            </w:r>
            <w:r w:rsidRPr="00101A17">
              <w:rPr>
                <w:rFonts w:ascii="Arial" w:eastAsia="標楷體" w:hAnsi="Arial" w:cs="Arial"/>
                <w:sz w:val="26"/>
                <w:szCs w:val="26"/>
              </w:rPr>
              <w:t>YC</w:t>
            </w:r>
            <w:r w:rsidRPr="00101A17">
              <w:rPr>
                <w:rFonts w:ascii="Arial" w:eastAsia="標楷體" w:hAnsi="Arial" w:cs="Arial" w:hint="eastAsia"/>
                <w:sz w:val="26"/>
                <w:szCs w:val="26"/>
              </w:rPr>
              <w:t>作業</w:t>
            </w:r>
            <w:r w:rsidRPr="00101A17">
              <w:rPr>
                <w:rFonts w:ascii="Arial" w:eastAsia="標楷體" w:hAnsi="Arial" w:cs="Arial" w:hint="eastAsia"/>
                <w:sz w:val="26"/>
                <w:szCs w:val="26"/>
              </w:rPr>
              <w:t>)</w:t>
            </w:r>
          </w:p>
          <w:p w:rsidR="004F1B32" w:rsidRPr="00101A17" w:rsidRDefault="004F1B32" w:rsidP="003B15A5">
            <w:pPr>
              <w:adjustRightInd w:val="0"/>
              <w:snapToGrid w:val="0"/>
              <w:spacing w:line="340" w:lineRule="exact"/>
              <w:ind w:hanging="2"/>
              <w:jc w:val="both"/>
              <w:rPr>
                <w:rFonts w:ascii="Arial" w:eastAsia="標楷體" w:hAnsi="Arial" w:cs="Arial"/>
                <w:sz w:val="26"/>
                <w:szCs w:val="26"/>
              </w:rPr>
            </w:pPr>
            <w:r w:rsidRPr="00101A17">
              <w:rPr>
                <w:rFonts w:ascii="Arial" w:eastAsia="標楷體" w:hAnsi="Arial" w:cs="Arial" w:hint="eastAsia"/>
                <w:sz w:val="26"/>
                <w:szCs w:val="26"/>
              </w:rPr>
              <w:t>為有效評估高齡客戶是否有弱點，期貨服務事業向高齡客戶提供金融商品或服務時，應有符合高齡客戶之風險承受度評估項目。</w:t>
            </w:r>
          </w:p>
          <w:p w:rsidR="004F1B32" w:rsidRDefault="004F1B32" w:rsidP="003B15A5">
            <w:pPr>
              <w:adjustRightInd w:val="0"/>
              <w:snapToGrid w:val="0"/>
              <w:spacing w:line="340" w:lineRule="exact"/>
              <w:jc w:val="both"/>
              <w:rPr>
                <w:rFonts w:ascii="Arial" w:eastAsia="標楷體" w:hAnsi="Arial" w:cs="Arial"/>
                <w:sz w:val="26"/>
                <w:szCs w:val="26"/>
              </w:rPr>
            </w:pPr>
          </w:p>
          <w:p w:rsidR="004F1B32" w:rsidRDefault="004F1B32" w:rsidP="003B15A5">
            <w:pPr>
              <w:adjustRightInd w:val="0"/>
              <w:snapToGrid w:val="0"/>
              <w:spacing w:line="340" w:lineRule="exact"/>
              <w:jc w:val="both"/>
              <w:rPr>
                <w:rFonts w:ascii="Arial" w:eastAsia="標楷體" w:hAnsi="Arial" w:cs="Arial"/>
                <w:sz w:val="26"/>
                <w:szCs w:val="26"/>
              </w:rPr>
            </w:pPr>
          </w:p>
          <w:p w:rsidR="004F1B32" w:rsidRDefault="004F1B32" w:rsidP="003B15A5">
            <w:pPr>
              <w:adjustRightInd w:val="0"/>
              <w:snapToGrid w:val="0"/>
              <w:spacing w:line="340" w:lineRule="exact"/>
              <w:jc w:val="both"/>
              <w:rPr>
                <w:rFonts w:ascii="Arial" w:eastAsia="標楷體" w:hAnsi="Arial" w:cs="Arial"/>
                <w:sz w:val="26"/>
                <w:szCs w:val="26"/>
              </w:rPr>
            </w:pPr>
          </w:p>
          <w:p w:rsidR="004F1B32" w:rsidRPr="00101A17" w:rsidRDefault="004F1B32" w:rsidP="003B15A5">
            <w:pPr>
              <w:adjustRightInd w:val="0"/>
              <w:snapToGrid w:val="0"/>
              <w:spacing w:line="340" w:lineRule="exact"/>
              <w:jc w:val="both"/>
              <w:rPr>
                <w:rFonts w:ascii="Arial" w:eastAsia="標楷體" w:hAnsi="Arial" w:cs="Arial"/>
                <w:sz w:val="26"/>
                <w:szCs w:val="26"/>
              </w:rPr>
            </w:pPr>
            <w:r w:rsidRPr="00101A17">
              <w:rPr>
                <w:rFonts w:ascii="Arial" w:eastAsia="標楷體" w:hAnsi="Arial" w:cs="Arial" w:hint="eastAsia"/>
                <w:sz w:val="26"/>
                <w:szCs w:val="26"/>
              </w:rPr>
              <w:t>期貨信託事業於辦理定期更新基金適合度評估時發現高齡客戶風險承受度變更，致未符合原定期定額投資之基金風險等級時，仍得依原約定條件辦理定期定額投資作業，惟不得新增扣款額度或頻率。</w:t>
            </w:r>
          </w:p>
        </w:tc>
        <w:tc>
          <w:tcPr>
            <w:tcW w:w="2289" w:type="dxa"/>
          </w:tcPr>
          <w:p w:rsidR="004F1B32" w:rsidRPr="00101A17" w:rsidRDefault="004F1B32" w:rsidP="003B15A5">
            <w:pPr>
              <w:adjustRightInd w:val="0"/>
              <w:snapToGrid w:val="0"/>
              <w:spacing w:line="340" w:lineRule="exact"/>
              <w:ind w:hanging="2"/>
              <w:jc w:val="both"/>
              <w:rPr>
                <w:rFonts w:ascii="Arial" w:eastAsia="標楷體" w:hAnsi="Arial" w:cs="Arial"/>
                <w:sz w:val="26"/>
                <w:szCs w:val="26"/>
              </w:rPr>
            </w:pPr>
            <w:r w:rsidRPr="00101A17">
              <w:rPr>
                <w:rFonts w:ascii="Arial" w:eastAsia="標楷體" w:hAnsi="Arial" w:cs="Arial" w:hint="eastAsia"/>
                <w:sz w:val="26"/>
                <w:szCs w:val="26"/>
              </w:rPr>
              <w:t>第三條</w:t>
            </w:r>
            <w:r w:rsidRPr="00101A17">
              <w:rPr>
                <w:rFonts w:ascii="Arial" w:eastAsia="標楷體" w:hAnsi="Arial" w:cs="Arial" w:hint="eastAsia"/>
                <w:sz w:val="26"/>
                <w:szCs w:val="26"/>
              </w:rPr>
              <w:t>(K</w:t>
            </w:r>
            <w:r w:rsidRPr="00101A17">
              <w:rPr>
                <w:rFonts w:ascii="Arial" w:eastAsia="標楷體" w:hAnsi="Arial" w:cs="Arial"/>
                <w:sz w:val="26"/>
                <w:szCs w:val="26"/>
              </w:rPr>
              <w:t>YC</w:t>
            </w:r>
            <w:r w:rsidRPr="00101A17">
              <w:rPr>
                <w:rFonts w:ascii="Arial" w:eastAsia="標楷體" w:hAnsi="Arial" w:cs="Arial" w:hint="eastAsia"/>
                <w:sz w:val="26"/>
                <w:szCs w:val="26"/>
              </w:rPr>
              <w:t>作業</w:t>
            </w:r>
            <w:r w:rsidRPr="00101A17">
              <w:rPr>
                <w:rFonts w:ascii="Arial" w:eastAsia="標楷體" w:hAnsi="Arial" w:cs="Arial" w:hint="eastAsia"/>
                <w:sz w:val="26"/>
                <w:szCs w:val="26"/>
              </w:rPr>
              <w:t>)</w:t>
            </w:r>
          </w:p>
          <w:p w:rsidR="004F1B32" w:rsidRPr="00101A17" w:rsidRDefault="004F1B32" w:rsidP="003B15A5">
            <w:pPr>
              <w:adjustRightInd w:val="0"/>
              <w:snapToGrid w:val="0"/>
              <w:spacing w:line="340" w:lineRule="exact"/>
              <w:ind w:hanging="2"/>
              <w:jc w:val="both"/>
              <w:rPr>
                <w:rFonts w:ascii="Arial" w:eastAsia="標楷體" w:hAnsi="Arial" w:cs="Arial"/>
                <w:sz w:val="26"/>
                <w:szCs w:val="26"/>
              </w:rPr>
            </w:pPr>
            <w:r w:rsidRPr="00101A17">
              <w:rPr>
                <w:rFonts w:ascii="Arial" w:eastAsia="標楷體" w:hAnsi="Arial" w:cs="Arial" w:hint="eastAsia"/>
                <w:sz w:val="26"/>
                <w:szCs w:val="26"/>
              </w:rPr>
              <w:t>為有效評估高齡客戶是否有弱點，期貨服務事業向高齡客戶提供金融商品或服務時，應有符合高齡客戶之風險承受度評估項目。</w:t>
            </w:r>
          </w:p>
          <w:p w:rsidR="004F1B32" w:rsidRDefault="004F1B32" w:rsidP="003B15A5">
            <w:pPr>
              <w:adjustRightInd w:val="0"/>
              <w:snapToGrid w:val="0"/>
              <w:spacing w:line="340" w:lineRule="exact"/>
              <w:jc w:val="both"/>
              <w:rPr>
                <w:rFonts w:ascii="Arial" w:eastAsia="標楷體" w:hAnsi="Arial" w:cs="Arial"/>
                <w:sz w:val="26"/>
                <w:szCs w:val="26"/>
              </w:rPr>
            </w:pPr>
          </w:p>
          <w:p w:rsidR="004F1B32" w:rsidRDefault="004F1B32" w:rsidP="003B15A5">
            <w:pPr>
              <w:adjustRightInd w:val="0"/>
              <w:snapToGrid w:val="0"/>
              <w:spacing w:line="340" w:lineRule="exact"/>
              <w:jc w:val="both"/>
              <w:rPr>
                <w:rFonts w:ascii="Arial" w:eastAsia="標楷體" w:hAnsi="Arial" w:cs="Arial"/>
                <w:sz w:val="26"/>
                <w:szCs w:val="26"/>
              </w:rPr>
            </w:pPr>
          </w:p>
          <w:p w:rsidR="004F1B32" w:rsidRDefault="004F1B32" w:rsidP="003B15A5">
            <w:pPr>
              <w:adjustRightInd w:val="0"/>
              <w:snapToGrid w:val="0"/>
              <w:spacing w:line="340" w:lineRule="exact"/>
              <w:jc w:val="both"/>
              <w:rPr>
                <w:rFonts w:ascii="Arial" w:eastAsia="標楷體" w:hAnsi="Arial" w:cs="Arial"/>
                <w:sz w:val="26"/>
                <w:szCs w:val="26"/>
              </w:rPr>
            </w:pPr>
          </w:p>
          <w:p w:rsidR="004F1B32" w:rsidRPr="00101A17" w:rsidRDefault="004F1B32" w:rsidP="003B15A5">
            <w:pPr>
              <w:adjustRightInd w:val="0"/>
              <w:snapToGrid w:val="0"/>
              <w:spacing w:line="340" w:lineRule="exact"/>
              <w:jc w:val="both"/>
              <w:rPr>
                <w:rFonts w:ascii="Arial" w:eastAsia="標楷體" w:hAnsi="Arial" w:cs="Arial"/>
                <w:sz w:val="26"/>
                <w:szCs w:val="26"/>
              </w:rPr>
            </w:pPr>
            <w:r w:rsidRPr="00101A17">
              <w:rPr>
                <w:rFonts w:ascii="Arial" w:eastAsia="標楷體" w:hAnsi="Arial" w:cs="Arial" w:hint="eastAsia"/>
                <w:sz w:val="26"/>
                <w:szCs w:val="26"/>
              </w:rPr>
              <w:t>期貨信託事業於辦理定期更新基金適合度評估時發現高齡客戶風險承受度變更，致未符合原定期定額投資之基金風險等級時，仍得依原約定條件辦理定期定額投資作業，惟不得新增扣款額度或頻率。</w:t>
            </w:r>
          </w:p>
        </w:tc>
        <w:tc>
          <w:tcPr>
            <w:tcW w:w="2289" w:type="dxa"/>
          </w:tcPr>
          <w:p w:rsidR="004F1B32" w:rsidRPr="00101A17" w:rsidRDefault="004F1B32" w:rsidP="003B15A5">
            <w:pPr>
              <w:adjustRightInd w:val="0"/>
              <w:snapToGrid w:val="0"/>
              <w:spacing w:line="340" w:lineRule="exact"/>
              <w:jc w:val="both"/>
              <w:rPr>
                <w:rFonts w:ascii="Arial" w:eastAsia="標楷體" w:hAnsi="Arial" w:cs="Arial"/>
                <w:sz w:val="26"/>
                <w:szCs w:val="26"/>
              </w:rPr>
            </w:pPr>
            <w:r>
              <w:rPr>
                <w:rFonts w:ascii="Arial" w:eastAsia="標楷體" w:hAnsi="Arial" w:cs="Arial" w:hint="eastAsia"/>
                <w:sz w:val="26"/>
                <w:szCs w:val="26"/>
              </w:rPr>
              <w:t>參</w:t>
            </w:r>
            <w:r w:rsidRPr="00734E6E">
              <w:rPr>
                <w:rFonts w:ascii="Arial" w:eastAsia="標楷體" w:hAnsi="Arial" w:cs="Arial" w:hint="eastAsia"/>
                <w:sz w:val="26"/>
                <w:szCs w:val="26"/>
              </w:rPr>
              <w:t>酌，未修正。</w:t>
            </w:r>
          </w:p>
        </w:tc>
      </w:tr>
      <w:tr w:rsidR="004F1B32" w:rsidRPr="00125E01" w:rsidTr="003B15A5">
        <w:tc>
          <w:tcPr>
            <w:tcW w:w="2288" w:type="dxa"/>
          </w:tcPr>
          <w:p w:rsidR="004F1B32" w:rsidRPr="00125E01" w:rsidRDefault="004F1B32" w:rsidP="003B15A5">
            <w:pPr>
              <w:suppressAutoHyphens/>
              <w:autoSpaceDN w:val="0"/>
              <w:adjustRightInd w:val="0"/>
              <w:snapToGrid w:val="0"/>
              <w:spacing w:line="360" w:lineRule="exact"/>
              <w:jc w:val="both"/>
              <w:textAlignment w:val="baseline"/>
              <w:rPr>
                <w:rFonts w:ascii="Arial" w:eastAsia="標楷體" w:hAnsi="Arial" w:cs="Arial"/>
                <w:kern w:val="3"/>
                <w:sz w:val="26"/>
                <w:szCs w:val="26"/>
              </w:rPr>
            </w:pPr>
            <w:r w:rsidRPr="00125E01">
              <w:rPr>
                <w:rFonts w:ascii="Arial" w:eastAsia="標楷體" w:hAnsi="Arial" w:cs="Arial"/>
                <w:kern w:val="3"/>
                <w:sz w:val="26"/>
                <w:szCs w:val="26"/>
              </w:rPr>
              <w:t>第九條</w:t>
            </w:r>
            <w:r w:rsidRPr="00125E01">
              <w:rPr>
                <w:rFonts w:ascii="Arial" w:eastAsia="標楷體" w:hAnsi="Arial" w:cs="Arial"/>
                <w:kern w:val="3"/>
                <w:sz w:val="26"/>
                <w:szCs w:val="26"/>
              </w:rPr>
              <w:t>(</w:t>
            </w:r>
            <w:r w:rsidRPr="00125E01">
              <w:rPr>
                <w:rFonts w:ascii="Arial" w:eastAsia="標楷體" w:hAnsi="Arial" w:cs="Arial"/>
                <w:kern w:val="3"/>
                <w:sz w:val="26"/>
                <w:szCs w:val="26"/>
              </w:rPr>
              <w:t>交易檢視及確認</w:t>
            </w:r>
            <w:r w:rsidRPr="00125E01">
              <w:rPr>
                <w:rFonts w:ascii="Arial" w:eastAsia="標楷體" w:hAnsi="Arial" w:cs="Arial"/>
                <w:kern w:val="3"/>
                <w:sz w:val="26"/>
                <w:szCs w:val="26"/>
              </w:rPr>
              <w:t>)</w:t>
            </w:r>
          </w:p>
          <w:p w:rsidR="004F1B32" w:rsidRPr="00125E01" w:rsidRDefault="004F1B32" w:rsidP="003B15A5">
            <w:pPr>
              <w:suppressAutoHyphens/>
              <w:autoSpaceDN w:val="0"/>
              <w:adjustRightInd w:val="0"/>
              <w:snapToGrid w:val="0"/>
              <w:spacing w:line="360" w:lineRule="exact"/>
              <w:jc w:val="both"/>
              <w:textAlignment w:val="baseline"/>
              <w:rPr>
                <w:rFonts w:ascii="Arial" w:eastAsia="標楷體" w:hAnsi="Arial" w:cs="Arial"/>
                <w:kern w:val="3"/>
                <w:sz w:val="26"/>
                <w:szCs w:val="26"/>
              </w:rPr>
            </w:pPr>
            <w:r w:rsidRPr="00125E01">
              <w:rPr>
                <w:rFonts w:ascii="Arial" w:eastAsia="標楷體" w:hAnsi="Arial" w:cs="Arial"/>
                <w:kern w:val="3"/>
                <w:sz w:val="26"/>
                <w:szCs w:val="26"/>
              </w:rPr>
              <w:t>本公會會員應強化</w:t>
            </w:r>
            <w:proofErr w:type="gramStart"/>
            <w:r w:rsidRPr="00125E01">
              <w:rPr>
                <w:rFonts w:ascii="Arial" w:eastAsia="標楷體" w:hAnsi="Arial" w:cs="Arial"/>
                <w:kern w:val="3"/>
                <w:sz w:val="26"/>
                <w:szCs w:val="26"/>
              </w:rPr>
              <w:t>銷售予經第三</w:t>
            </w:r>
            <w:proofErr w:type="gramEnd"/>
            <w:r w:rsidRPr="00125E01">
              <w:rPr>
                <w:rFonts w:ascii="Arial" w:eastAsia="標楷體" w:hAnsi="Arial" w:cs="Arial"/>
                <w:kern w:val="3"/>
                <w:sz w:val="26"/>
                <w:szCs w:val="26"/>
              </w:rPr>
              <w:t>條</w:t>
            </w:r>
            <w:proofErr w:type="gramStart"/>
            <w:r w:rsidRPr="00125E01">
              <w:rPr>
                <w:rFonts w:ascii="Arial" w:eastAsia="標楷體" w:hAnsi="Arial" w:cs="Arial"/>
                <w:kern w:val="3"/>
                <w:sz w:val="26"/>
                <w:szCs w:val="26"/>
              </w:rPr>
              <w:t>評估後屬弱勢</w:t>
            </w:r>
            <w:proofErr w:type="gramEnd"/>
            <w:r w:rsidRPr="00125E01">
              <w:rPr>
                <w:rFonts w:ascii="Arial" w:eastAsia="標楷體" w:hAnsi="Arial" w:cs="Arial"/>
                <w:kern w:val="3"/>
                <w:sz w:val="26"/>
                <w:szCs w:val="26"/>
              </w:rPr>
              <w:lastRenderedPageBreak/>
              <w:t>高齡金融消費者從事高風險商品交易之檢視或確認機制，如建立交易前控管</w:t>
            </w:r>
            <w:r w:rsidRPr="00125E01">
              <w:rPr>
                <w:rFonts w:ascii="Arial" w:eastAsia="標楷體" w:hAnsi="Arial" w:cs="Arial"/>
                <w:kern w:val="3"/>
                <w:sz w:val="26"/>
                <w:szCs w:val="26"/>
              </w:rPr>
              <w:t>(</w:t>
            </w:r>
            <w:r w:rsidRPr="00125E01">
              <w:rPr>
                <w:rFonts w:ascii="Arial" w:eastAsia="標楷體" w:hAnsi="Arial" w:cs="Arial"/>
                <w:kern w:val="3"/>
                <w:sz w:val="26"/>
                <w:szCs w:val="26"/>
              </w:rPr>
              <w:t>由業務人員以外員工執行交易或經高階主管核准或以電腦系統控管</w:t>
            </w:r>
            <w:r w:rsidRPr="00125E01">
              <w:rPr>
                <w:rFonts w:ascii="Arial" w:eastAsia="標楷體" w:hAnsi="Arial" w:cs="Arial"/>
                <w:kern w:val="3"/>
                <w:sz w:val="26"/>
                <w:szCs w:val="26"/>
              </w:rPr>
              <w:t>)</w:t>
            </w:r>
            <w:r w:rsidRPr="00125E01">
              <w:rPr>
                <w:rFonts w:ascii="Arial" w:eastAsia="標楷體" w:hAnsi="Arial" w:cs="Arial"/>
                <w:kern w:val="3"/>
                <w:sz w:val="26"/>
                <w:szCs w:val="26"/>
              </w:rPr>
              <w:t>及交易後回訪機制。</w:t>
            </w:r>
          </w:p>
          <w:p w:rsidR="004F1B32" w:rsidRPr="00125E01" w:rsidRDefault="004F1B32" w:rsidP="003B15A5">
            <w:pPr>
              <w:suppressAutoHyphens/>
              <w:autoSpaceDN w:val="0"/>
              <w:adjustRightInd w:val="0"/>
              <w:snapToGrid w:val="0"/>
              <w:spacing w:line="360" w:lineRule="exact"/>
              <w:jc w:val="both"/>
              <w:textAlignment w:val="baseline"/>
              <w:rPr>
                <w:rFonts w:ascii="Arial" w:eastAsia="標楷體" w:hAnsi="Arial" w:cs="Arial"/>
                <w:kern w:val="3"/>
                <w:sz w:val="26"/>
                <w:szCs w:val="26"/>
              </w:rPr>
            </w:pPr>
            <w:r w:rsidRPr="00125E01">
              <w:rPr>
                <w:rFonts w:ascii="Arial" w:eastAsia="標楷體" w:hAnsi="Arial" w:cs="Arial"/>
                <w:kern w:val="3"/>
                <w:sz w:val="26"/>
                <w:szCs w:val="26"/>
              </w:rPr>
              <w:t>會員公司於弱勢高齡金融消費者從事金融商品交易，遇下列情形之一時，應辦理交易後回訪：</w:t>
            </w:r>
          </w:p>
          <w:p w:rsidR="004F1B32" w:rsidRPr="00125E01" w:rsidRDefault="004F1B32" w:rsidP="003B15A5">
            <w:pPr>
              <w:suppressAutoHyphens/>
              <w:autoSpaceDN w:val="0"/>
              <w:adjustRightInd w:val="0"/>
              <w:snapToGrid w:val="0"/>
              <w:spacing w:line="360" w:lineRule="exact"/>
              <w:ind w:left="507" w:hangingChars="195" w:hanging="507"/>
              <w:jc w:val="both"/>
              <w:textAlignment w:val="baseline"/>
              <w:rPr>
                <w:rFonts w:ascii="Arial" w:eastAsia="標楷體" w:hAnsi="Arial" w:cs="Arial"/>
                <w:kern w:val="3"/>
                <w:sz w:val="26"/>
                <w:szCs w:val="26"/>
              </w:rPr>
            </w:pPr>
            <w:r w:rsidRPr="00125E01">
              <w:rPr>
                <w:rFonts w:ascii="Arial" w:eastAsia="標楷體" w:hAnsi="Arial" w:cs="Arial"/>
                <w:kern w:val="3"/>
                <w:sz w:val="26"/>
                <w:szCs w:val="26"/>
              </w:rPr>
              <w:t>一、高風險基金定期定額等事先約定條件之投資新增扣款額度或頻率。</w:t>
            </w:r>
          </w:p>
          <w:p w:rsidR="004F1B32" w:rsidRPr="00125E01" w:rsidRDefault="004F1B32" w:rsidP="003B15A5">
            <w:pPr>
              <w:suppressAutoHyphens/>
              <w:autoSpaceDN w:val="0"/>
              <w:adjustRightInd w:val="0"/>
              <w:snapToGrid w:val="0"/>
              <w:spacing w:line="360" w:lineRule="exact"/>
              <w:ind w:left="507" w:hangingChars="195" w:hanging="507"/>
              <w:jc w:val="both"/>
              <w:textAlignment w:val="baseline"/>
              <w:rPr>
                <w:rFonts w:ascii="Arial" w:eastAsia="標楷體" w:hAnsi="Arial" w:cs="Arial"/>
                <w:kern w:val="3"/>
                <w:sz w:val="26"/>
                <w:szCs w:val="26"/>
              </w:rPr>
            </w:pPr>
            <w:r w:rsidRPr="00125E01">
              <w:rPr>
                <w:rFonts w:ascii="Arial" w:eastAsia="標楷體" w:hAnsi="Arial" w:cs="Arial"/>
                <w:kern w:val="3"/>
                <w:sz w:val="26"/>
                <w:szCs w:val="26"/>
              </w:rPr>
              <w:t>二、新增高風險定期定額等事先約定條件之投資契約或</w:t>
            </w:r>
            <w:proofErr w:type="gramStart"/>
            <w:r w:rsidRPr="00125E01">
              <w:rPr>
                <w:rFonts w:ascii="Arial" w:eastAsia="標楷體" w:hAnsi="Arial" w:cs="Arial"/>
                <w:kern w:val="3"/>
                <w:sz w:val="26"/>
                <w:szCs w:val="26"/>
              </w:rPr>
              <w:t>單筆新申購</w:t>
            </w:r>
            <w:proofErr w:type="gramEnd"/>
            <w:r w:rsidRPr="00125E01">
              <w:rPr>
                <w:rFonts w:ascii="Arial" w:eastAsia="標楷體" w:hAnsi="Arial" w:cs="Arial"/>
                <w:kern w:val="3"/>
                <w:sz w:val="26"/>
                <w:szCs w:val="26"/>
              </w:rPr>
              <w:t>。</w:t>
            </w:r>
          </w:p>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kern w:val="3"/>
                <w:sz w:val="26"/>
                <w:szCs w:val="26"/>
              </w:rPr>
              <w:t>第一項所稱弱勢高齡金融消費者，係指經第三條評估後，具弱點之高齡金融消費者；高風險商品係指會</w:t>
            </w:r>
            <w:r w:rsidRPr="00125E01">
              <w:rPr>
                <w:rFonts w:ascii="Arial" w:eastAsia="標楷體" w:hAnsi="Arial" w:cs="Arial"/>
                <w:kern w:val="3"/>
                <w:sz w:val="26"/>
                <w:szCs w:val="26"/>
              </w:rPr>
              <w:lastRenderedPageBreak/>
              <w:t>員公司依本公會「證券投資信託及顧問事業辦理客戶基金適合度評估準則」及「基金風險報酬等級分類標準」所歸類之高風險商品。</w:t>
            </w:r>
          </w:p>
        </w:tc>
        <w:tc>
          <w:tcPr>
            <w:tcW w:w="2289" w:type="dxa"/>
          </w:tcPr>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lastRenderedPageBreak/>
              <w:t>第九條</w:t>
            </w:r>
            <w:r w:rsidRPr="00125E01">
              <w:rPr>
                <w:rFonts w:ascii="Arial" w:eastAsia="標楷體" w:hAnsi="Arial" w:cs="Arial"/>
                <w:sz w:val="26"/>
                <w:szCs w:val="26"/>
              </w:rPr>
              <w:t xml:space="preserve"> (</w:t>
            </w:r>
            <w:r w:rsidRPr="00125E01">
              <w:rPr>
                <w:rFonts w:ascii="Arial" w:eastAsia="標楷體" w:hAnsi="Arial" w:cs="Arial"/>
                <w:sz w:val="26"/>
                <w:szCs w:val="26"/>
              </w:rPr>
              <w:t>交易檢視及確認</w:t>
            </w:r>
            <w:r w:rsidRPr="00125E01">
              <w:rPr>
                <w:rFonts w:ascii="Arial" w:eastAsia="標楷體" w:hAnsi="Arial" w:cs="Arial"/>
                <w:sz w:val="26"/>
                <w:szCs w:val="26"/>
              </w:rPr>
              <w:t>)</w:t>
            </w:r>
          </w:p>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期貨服務事業應強化</w:t>
            </w:r>
            <w:proofErr w:type="gramStart"/>
            <w:r w:rsidRPr="00125E01">
              <w:rPr>
                <w:rFonts w:ascii="Arial" w:eastAsia="標楷體" w:hAnsi="Arial" w:cs="Arial"/>
                <w:sz w:val="26"/>
                <w:szCs w:val="26"/>
              </w:rPr>
              <w:t>銷售予經第三</w:t>
            </w:r>
            <w:proofErr w:type="gramEnd"/>
            <w:r w:rsidRPr="00125E01">
              <w:rPr>
                <w:rFonts w:ascii="Arial" w:eastAsia="標楷體" w:hAnsi="Arial" w:cs="Arial"/>
                <w:sz w:val="26"/>
                <w:szCs w:val="26"/>
              </w:rPr>
              <w:t>條</w:t>
            </w:r>
            <w:proofErr w:type="gramStart"/>
            <w:r w:rsidRPr="00125E01">
              <w:rPr>
                <w:rFonts w:ascii="Arial" w:eastAsia="標楷體" w:hAnsi="Arial" w:cs="Arial"/>
                <w:sz w:val="26"/>
                <w:szCs w:val="26"/>
              </w:rPr>
              <w:t>評估後屬弱</w:t>
            </w:r>
            <w:r w:rsidRPr="00125E01">
              <w:rPr>
                <w:rFonts w:ascii="Arial" w:eastAsia="標楷體" w:hAnsi="Arial" w:cs="Arial"/>
                <w:sz w:val="26"/>
                <w:szCs w:val="26"/>
              </w:rPr>
              <w:lastRenderedPageBreak/>
              <w:t>勢</w:t>
            </w:r>
            <w:proofErr w:type="gramEnd"/>
            <w:r w:rsidRPr="00125E01">
              <w:rPr>
                <w:rFonts w:ascii="Arial" w:eastAsia="標楷體" w:hAnsi="Arial" w:cs="Arial"/>
                <w:sz w:val="26"/>
                <w:szCs w:val="26"/>
              </w:rPr>
              <w:t>高齡客戶之高風險商品交易檢視或確認機制，如建立交易前控管</w:t>
            </w:r>
            <w:r w:rsidRPr="00125E01">
              <w:rPr>
                <w:rFonts w:ascii="Arial" w:eastAsia="標楷體" w:hAnsi="Arial" w:cs="Arial"/>
                <w:sz w:val="26"/>
                <w:szCs w:val="26"/>
              </w:rPr>
              <w:t>(</w:t>
            </w:r>
            <w:r w:rsidRPr="00125E01">
              <w:rPr>
                <w:rFonts w:ascii="Arial" w:eastAsia="標楷體" w:hAnsi="Arial" w:cs="Arial"/>
                <w:sz w:val="26"/>
                <w:szCs w:val="26"/>
              </w:rPr>
              <w:t>由業務人員以外員工執行交易或經高階主管核准或以電腦系統控管</w:t>
            </w:r>
            <w:r w:rsidRPr="00125E01">
              <w:rPr>
                <w:rFonts w:ascii="Arial" w:eastAsia="標楷體" w:hAnsi="Arial" w:cs="Arial"/>
                <w:sz w:val="26"/>
                <w:szCs w:val="26"/>
              </w:rPr>
              <w:t>)</w:t>
            </w:r>
            <w:r w:rsidRPr="00125E01">
              <w:rPr>
                <w:rFonts w:ascii="Arial" w:eastAsia="標楷體" w:hAnsi="Arial" w:cs="Arial"/>
                <w:sz w:val="26"/>
                <w:szCs w:val="26"/>
              </w:rPr>
              <w:t>。</w:t>
            </w:r>
          </w:p>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前項所稱弱勢高齡客戶，係指經第三條評估後，具弱點之高齡客戶；高風險商品係指依本公會「期貨信託事業內部控制制度標準規範」之基金適合度政策：期貨信託基金客戶分類及期貨信託基金風險分類標準所歸類之高風險商品。</w:t>
            </w:r>
          </w:p>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期貨經理事業於期貨交易全權委任契約存續</w:t>
            </w:r>
            <w:proofErr w:type="gramStart"/>
            <w:r w:rsidRPr="00125E01">
              <w:rPr>
                <w:rFonts w:ascii="Arial" w:eastAsia="標楷體" w:hAnsi="Arial" w:cs="Arial"/>
                <w:sz w:val="26"/>
                <w:szCs w:val="26"/>
              </w:rPr>
              <w:t>期間，</w:t>
            </w:r>
            <w:proofErr w:type="gramEnd"/>
            <w:r w:rsidRPr="00125E01">
              <w:rPr>
                <w:rFonts w:ascii="Arial" w:eastAsia="標楷體" w:hAnsi="Arial" w:cs="Arial"/>
                <w:sz w:val="26"/>
                <w:szCs w:val="26"/>
              </w:rPr>
              <w:t>應與高齡客戶經常聯繫，隨時注意及掌握高齡客戶財務狀況及風險承受程度等因素之變化，並與高齡</w:t>
            </w:r>
            <w:r w:rsidRPr="00125E01">
              <w:rPr>
                <w:rFonts w:ascii="Arial" w:eastAsia="標楷體" w:hAnsi="Arial" w:cs="Arial"/>
                <w:sz w:val="26"/>
                <w:szCs w:val="26"/>
              </w:rPr>
              <w:lastRenderedPageBreak/>
              <w:t>客戶每年至少進行一次訪談，以修正或補充高齡客戶資料表內容，作為未來交易決定之參考，並留存備查。</w:t>
            </w:r>
          </w:p>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期貨信託事業於</w:t>
            </w:r>
            <w:r w:rsidRPr="00125E01">
              <w:rPr>
                <w:rFonts w:ascii="Arial" w:eastAsia="標楷體" w:hAnsi="Arial" w:cs="Arial" w:hint="eastAsia"/>
                <w:b/>
                <w:color w:val="0000FF"/>
                <w:sz w:val="26"/>
                <w:szCs w:val="26"/>
                <w:u w:val="single"/>
              </w:rPr>
              <w:t>弱勢</w:t>
            </w:r>
            <w:r w:rsidRPr="00125E01">
              <w:rPr>
                <w:rFonts w:ascii="Arial" w:eastAsia="標楷體" w:hAnsi="Arial" w:cs="Arial"/>
                <w:sz w:val="26"/>
                <w:szCs w:val="26"/>
              </w:rPr>
              <w:t>高齡客戶從事金融商品交易，遇下列情形之一時，應辦理交易後回訪：</w:t>
            </w:r>
          </w:p>
          <w:p w:rsidR="004F1B32" w:rsidRPr="00125E01" w:rsidRDefault="004F1B32" w:rsidP="003B15A5">
            <w:pPr>
              <w:suppressAutoHyphens/>
              <w:autoSpaceDN w:val="0"/>
              <w:adjustRightInd w:val="0"/>
              <w:snapToGrid w:val="0"/>
              <w:spacing w:line="360" w:lineRule="exact"/>
              <w:ind w:left="507" w:hangingChars="195" w:hanging="507"/>
              <w:jc w:val="both"/>
              <w:textAlignment w:val="baseline"/>
              <w:rPr>
                <w:rFonts w:ascii="Arial" w:eastAsia="標楷體" w:hAnsi="Arial" w:cs="Arial"/>
                <w:sz w:val="26"/>
                <w:szCs w:val="26"/>
              </w:rPr>
            </w:pPr>
            <w:r w:rsidRPr="00125E01">
              <w:rPr>
                <w:rFonts w:ascii="Arial" w:eastAsia="標楷體" w:hAnsi="Arial" w:cs="Arial"/>
                <w:sz w:val="26"/>
                <w:szCs w:val="26"/>
              </w:rPr>
              <w:t>一、高風險基金定期</w:t>
            </w:r>
            <w:r w:rsidRPr="00845F03">
              <w:rPr>
                <w:rFonts w:ascii="Arial" w:eastAsia="標楷體" w:hAnsi="Arial" w:cs="Arial"/>
                <w:kern w:val="3"/>
                <w:sz w:val="26"/>
                <w:szCs w:val="26"/>
              </w:rPr>
              <w:t>定額</w:t>
            </w:r>
            <w:r w:rsidRPr="00125E01">
              <w:rPr>
                <w:rFonts w:ascii="Arial" w:eastAsia="標楷體" w:hAnsi="Arial" w:cs="Arial"/>
                <w:sz w:val="26"/>
                <w:szCs w:val="26"/>
              </w:rPr>
              <w:t>等事先約定條件之投資新增扣款額度或頻率。</w:t>
            </w:r>
          </w:p>
          <w:p w:rsidR="004F1B32" w:rsidRDefault="004F1B32" w:rsidP="003B15A5">
            <w:pPr>
              <w:adjustRightInd w:val="0"/>
              <w:snapToGrid w:val="0"/>
              <w:spacing w:line="360" w:lineRule="exact"/>
              <w:ind w:left="523" w:hangingChars="201" w:hanging="523"/>
              <w:jc w:val="both"/>
              <w:rPr>
                <w:rFonts w:ascii="Arial" w:eastAsia="標楷體" w:hAnsi="Arial" w:cs="Arial"/>
                <w:sz w:val="26"/>
                <w:szCs w:val="26"/>
              </w:rPr>
            </w:pPr>
          </w:p>
          <w:p w:rsidR="004F1B32" w:rsidRPr="00125E01" w:rsidRDefault="004F1B32" w:rsidP="003B15A5">
            <w:pPr>
              <w:suppressAutoHyphens/>
              <w:autoSpaceDN w:val="0"/>
              <w:adjustRightInd w:val="0"/>
              <w:snapToGrid w:val="0"/>
              <w:spacing w:line="360" w:lineRule="exact"/>
              <w:ind w:left="507" w:hangingChars="195" w:hanging="507"/>
              <w:jc w:val="both"/>
              <w:textAlignment w:val="baseline"/>
              <w:rPr>
                <w:rFonts w:ascii="Arial" w:eastAsia="標楷體" w:hAnsi="Arial" w:cs="Arial"/>
                <w:sz w:val="26"/>
                <w:szCs w:val="26"/>
              </w:rPr>
            </w:pPr>
            <w:r w:rsidRPr="00125E01">
              <w:rPr>
                <w:rFonts w:ascii="Arial" w:eastAsia="標楷體" w:hAnsi="Arial" w:cs="Arial"/>
                <w:sz w:val="26"/>
                <w:szCs w:val="26"/>
              </w:rPr>
              <w:t>二、新增高風險定期定額等事先約定條件之投資契約或</w:t>
            </w:r>
            <w:proofErr w:type="gramStart"/>
            <w:r w:rsidRPr="00125E01">
              <w:rPr>
                <w:rFonts w:ascii="Arial" w:eastAsia="標楷體" w:hAnsi="Arial" w:cs="Arial"/>
                <w:sz w:val="26"/>
                <w:szCs w:val="26"/>
              </w:rPr>
              <w:t>單筆新申購</w:t>
            </w:r>
            <w:proofErr w:type="gramEnd"/>
            <w:r w:rsidRPr="00125E01">
              <w:rPr>
                <w:rFonts w:ascii="Arial" w:eastAsia="標楷體" w:hAnsi="Arial" w:cs="Arial"/>
                <w:sz w:val="26"/>
                <w:szCs w:val="26"/>
              </w:rPr>
              <w:t>。</w:t>
            </w:r>
          </w:p>
        </w:tc>
        <w:tc>
          <w:tcPr>
            <w:tcW w:w="2289" w:type="dxa"/>
          </w:tcPr>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lastRenderedPageBreak/>
              <w:t>第九條</w:t>
            </w:r>
            <w:r w:rsidRPr="00125E01">
              <w:rPr>
                <w:rFonts w:ascii="Arial" w:eastAsia="標楷體" w:hAnsi="Arial" w:cs="Arial"/>
                <w:sz w:val="26"/>
                <w:szCs w:val="26"/>
              </w:rPr>
              <w:t xml:space="preserve"> (</w:t>
            </w:r>
            <w:r w:rsidRPr="00125E01">
              <w:rPr>
                <w:rFonts w:ascii="Arial" w:eastAsia="標楷體" w:hAnsi="Arial" w:cs="Arial"/>
                <w:sz w:val="26"/>
                <w:szCs w:val="26"/>
              </w:rPr>
              <w:t>交易檢視及確認</w:t>
            </w:r>
            <w:r w:rsidRPr="00125E01">
              <w:rPr>
                <w:rFonts w:ascii="Arial" w:eastAsia="標楷體" w:hAnsi="Arial" w:cs="Arial"/>
                <w:sz w:val="26"/>
                <w:szCs w:val="26"/>
              </w:rPr>
              <w:t>)</w:t>
            </w:r>
          </w:p>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期貨服務事業應強化</w:t>
            </w:r>
            <w:proofErr w:type="gramStart"/>
            <w:r w:rsidRPr="00125E01">
              <w:rPr>
                <w:rFonts w:ascii="Arial" w:eastAsia="標楷體" w:hAnsi="Arial" w:cs="Arial"/>
                <w:sz w:val="26"/>
                <w:szCs w:val="26"/>
              </w:rPr>
              <w:t>銷售予經第三</w:t>
            </w:r>
            <w:proofErr w:type="gramEnd"/>
            <w:r w:rsidRPr="00125E01">
              <w:rPr>
                <w:rFonts w:ascii="Arial" w:eastAsia="標楷體" w:hAnsi="Arial" w:cs="Arial"/>
                <w:sz w:val="26"/>
                <w:szCs w:val="26"/>
              </w:rPr>
              <w:t>條</w:t>
            </w:r>
            <w:proofErr w:type="gramStart"/>
            <w:r w:rsidRPr="00125E01">
              <w:rPr>
                <w:rFonts w:ascii="Arial" w:eastAsia="標楷體" w:hAnsi="Arial" w:cs="Arial"/>
                <w:sz w:val="26"/>
                <w:szCs w:val="26"/>
              </w:rPr>
              <w:t>評估後屬弱</w:t>
            </w:r>
            <w:r w:rsidRPr="00125E01">
              <w:rPr>
                <w:rFonts w:ascii="Arial" w:eastAsia="標楷體" w:hAnsi="Arial" w:cs="Arial"/>
                <w:sz w:val="26"/>
                <w:szCs w:val="26"/>
              </w:rPr>
              <w:lastRenderedPageBreak/>
              <w:t>勢</w:t>
            </w:r>
            <w:proofErr w:type="gramEnd"/>
            <w:r w:rsidRPr="00125E01">
              <w:rPr>
                <w:rFonts w:ascii="Arial" w:eastAsia="標楷體" w:hAnsi="Arial" w:cs="Arial"/>
                <w:sz w:val="26"/>
                <w:szCs w:val="26"/>
              </w:rPr>
              <w:t>高齡客戶之高風險商品交易檢視或確認機制，如建立交易前控管</w:t>
            </w:r>
            <w:r w:rsidRPr="00125E01">
              <w:rPr>
                <w:rFonts w:ascii="Arial" w:eastAsia="標楷體" w:hAnsi="Arial" w:cs="Arial"/>
                <w:sz w:val="26"/>
                <w:szCs w:val="26"/>
              </w:rPr>
              <w:t>(</w:t>
            </w:r>
            <w:r w:rsidRPr="00125E01">
              <w:rPr>
                <w:rFonts w:ascii="Arial" w:eastAsia="標楷體" w:hAnsi="Arial" w:cs="Arial"/>
                <w:sz w:val="26"/>
                <w:szCs w:val="26"/>
              </w:rPr>
              <w:t>由業務人員以外員工執行交易或經高階主管核准或以電腦系統控管</w:t>
            </w:r>
            <w:r w:rsidRPr="00125E01">
              <w:rPr>
                <w:rFonts w:ascii="Arial" w:eastAsia="標楷體" w:hAnsi="Arial" w:cs="Arial"/>
                <w:sz w:val="26"/>
                <w:szCs w:val="26"/>
              </w:rPr>
              <w:t>)</w:t>
            </w:r>
            <w:r w:rsidRPr="00125E01">
              <w:rPr>
                <w:rFonts w:ascii="Arial" w:eastAsia="標楷體" w:hAnsi="Arial" w:cs="Arial"/>
                <w:sz w:val="26"/>
                <w:szCs w:val="26"/>
              </w:rPr>
              <w:t>。</w:t>
            </w:r>
          </w:p>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前項所稱弱勢高齡客戶，係指經第三條評估後，具弱點之高齡客戶；高風險商品係指依本公會「期貨信託事業內部控制制度標準規範」之基金適合度政策：期貨信託基金客戶分類及期貨信託基金風險分類標準所歸類之高風險商品。</w:t>
            </w:r>
          </w:p>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期貨經理事業於期貨交易全權委任契約存續</w:t>
            </w:r>
            <w:proofErr w:type="gramStart"/>
            <w:r w:rsidRPr="00125E01">
              <w:rPr>
                <w:rFonts w:ascii="Arial" w:eastAsia="標楷體" w:hAnsi="Arial" w:cs="Arial"/>
                <w:sz w:val="26"/>
                <w:szCs w:val="26"/>
              </w:rPr>
              <w:t>期間，</w:t>
            </w:r>
            <w:proofErr w:type="gramEnd"/>
            <w:r w:rsidRPr="00125E01">
              <w:rPr>
                <w:rFonts w:ascii="Arial" w:eastAsia="標楷體" w:hAnsi="Arial" w:cs="Arial"/>
                <w:sz w:val="26"/>
                <w:szCs w:val="26"/>
              </w:rPr>
              <w:t>應與高齡客戶經常聯繫，隨時注意及掌握高齡客戶財務狀況及風險承受程度等因素之變化，並與高齡</w:t>
            </w:r>
            <w:r w:rsidRPr="00125E01">
              <w:rPr>
                <w:rFonts w:ascii="Arial" w:eastAsia="標楷體" w:hAnsi="Arial" w:cs="Arial"/>
                <w:sz w:val="26"/>
                <w:szCs w:val="26"/>
              </w:rPr>
              <w:lastRenderedPageBreak/>
              <w:t>客戶每年至少進行一次訪談，以修正或補充高齡客戶資料表內容，作為未來交易決定之參考，並留存備查。</w:t>
            </w:r>
          </w:p>
          <w:p w:rsidR="004F1B32" w:rsidRPr="00125E01" w:rsidRDefault="004F1B32" w:rsidP="003B15A5">
            <w:pPr>
              <w:adjustRightInd w:val="0"/>
              <w:snapToGrid w:val="0"/>
              <w:spacing w:line="360" w:lineRule="exact"/>
              <w:jc w:val="both"/>
              <w:rPr>
                <w:rFonts w:ascii="Arial" w:eastAsia="標楷體" w:hAnsi="Arial" w:cs="Arial"/>
                <w:sz w:val="26"/>
                <w:szCs w:val="26"/>
              </w:rPr>
            </w:pPr>
            <w:r w:rsidRPr="00125E01">
              <w:rPr>
                <w:rFonts w:ascii="Arial" w:eastAsia="標楷體" w:hAnsi="Arial" w:cs="Arial"/>
                <w:sz w:val="26"/>
                <w:szCs w:val="26"/>
              </w:rPr>
              <w:t>期貨信託事業於高齡客戶從事金融商品交易，遇下列情形之一時，應辦理交易後回訪：</w:t>
            </w:r>
          </w:p>
          <w:p w:rsidR="004F1B32" w:rsidRDefault="004F1B32" w:rsidP="003B15A5">
            <w:pPr>
              <w:adjustRightInd w:val="0"/>
              <w:snapToGrid w:val="0"/>
              <w:spacing w:line="360" w:lineRule="exact"/>
              <w:ind w:left="523" w:hangingChars="201" w:hanging="523"/>
              <w:jc w:val="both"/>
              <w:rPr>
                <w:rFonts w:ascii="Arial" w:eastAsia="標楷體" w:hAnsi="Arial" w:cs="Arial"/>
                <w:sz w:val="26"/>
                <w:szCs w:val="26"/>
              </w:rPr>
            </w:pPr>
          </w:p>
          <w:p w:rsidR="004F1B32" w:rsidRPr="00125E01" w:rsidRDefault="004F1B32" w:rsidP="003B15A5">
            <w:pPr>
              <w:suppressAutoHyphens/>
              <w:autoSpaceDN w:val="0"/>
              <w:adjustRightInd w:val="0"/>
              <w:snapToGrid w:val="0"/>
              <w:spacing w:line="360" w:lineRule="exact"/>
              <w:ind w:left="507" w:hangingChars="195" w:hanging="507"/>
              <w:jc w:val="both"/>
              <w:textAlignment w:val="baseline"/>
              <w:rPr>
                <w:rFonts w:ascii="Arial" w:eastAsia="標楷體" w:hAnsi="Arial" w:cs="Arial"/>
                <w:sz w:val="26"/>
                <w:szCs w:val="26"/>
              </w:rPr>
            </w:pPr>
            <w:r w:rsidRPr="00125E01">
              <w:rPr>
                <w:rFonts w:ascii="Arial" w:eastAsia="標楷體" w:hAnsi="Arial" w:cs="Arial"/>
                <w:sz w:val="26"/>
                <w:szCs w:val="26"/>
              </w:rPr>
              <w:t>一、</w:t>
            </w:r>
            <w:r w:rsidRPr="00396883">
              <w:rPr>
                <w:rFonts w:ascii="Arial" w:eastAsia="標楷體" w:hAnsi="Arial" w:cs="Arial"/>
                <w:b/>
                <w:color w:val="0000FF"/>
                <w:sz w:val="26"/>
                <w:szCs w:val="26"/>
                <w:u w:val="single"/>
              </w:rPr>
              <w:t>依第三條第二項</w:t>
            </w:r>
            <w:r w:rsidRPr="00125E01">
              <w:rPr>
                <w:rFonts w:ascii="Arial" w:eastAsia="標楷體" w:hAnsi="Arial" w:cs="Arial"/>
                <w:sz w:val="26"/>
                <w:szCs w:val="26"/>
              </w:rPr>
              <w:t>高風險基金定期定額等事先約定條件之投資新增扣款額度或頻率。</w:t>
            </w:r>
          </w:p>
          <w:p w:rsidR="004F1B32" w:rsidRPr="00125E01" w:rsidRDefault="004F1B32" w:rsidP="003B15A5">
            <w:pPr>
              <w:suppressAutoHyphens/>
              <w:autoSpaceDN w:val="0"/>
              <w:adjustRightInd w:val="0"/>
              <w:snapToGrid w:val="0"/>
              <w:spacing w:line="360" w:lineRule="exact"/>
              <w:ind w:left="507" w:hangingChars="195" w:hanging="507"/>
              <w:jc w:val="both"/>
              <w:textAlignment w:val="baseline"/>
              <w:rPr>
                <w:rFonts w:ascii="Arial" w:eastAsia="標楷體" w:hAnsi="Arial" w:cs="Arial"/>
                <w:sz w:val="26"/>
                <w:szCs w:val="26"/>
              </w:rPr>
            </w:pPr>
            <w:r w:rsidRPr="00125E01">
              <w:rPr>
                <w:rFonts w:ascii="Arial" w:eastAsia="標楷體" w:hAnsi="Arial" w:cs="Arial"/>
                <w:sz w:val="26"/>
                <w:szCs w:val="26"/>
              </w:rPr>
              <w:t>二、新增高風險定期定額等事先約定條件之投資契約或</w:t>
            </w:r>
            <w:proofErr w:type="gramStart"/>
            <w:r w:rsidRPr="00125E01">
              <w:rPr>
                <w:rFonts w:ascii="Arial" w:eastAsia="標楷體" w:hAnsi="Arial" w:cs="Arial"/>
                <w:sz w:val="26"/>
                <w:szCs w:val="26"/>
              </w:rPr>
              <w:t>單筆新申購</w:t>
            </w:r>
            <w:proofErr w:type="gramEnd"/>
            <w:r w:rsidRPr="00125E01">
              <w:rPr>
                <w:rFonts w:ascii="Arial" w:eastAsia="標楷體" w:hAnsi="Arial" w:cs="Arial"/>
                <w:sz w:val="26"/>
                <w:szCs w:val="26"/>
              </w:rPr>
              <w:t>。</w:t>
            </w:r>
          </w:p>
        </w:tc>
        <w:tc>
          <w:tcPr>
            <w:tcW w:w="2289" w:type="dxa"/>
          </w:tcPr>
          <w:p w:rsidR="004F1B32" w:rsidRPr="00125E01" w:rsidRDefault="004F1B32" w:rsidP="003B15A5">
            <w:pPr>
              <w:adjustRightInd w:val="0"/>
              <w:snapToGrid w:val="0"/>
              <w:spacing w:line="360" w:lineRule="exact"/>
              <w:jc w:val="both"/>
              <w:rPr>
                <w:rFonts w:ascii="Arial" w:eastAsia="標楷體" w:hAnsi="Arial" w:cs="Arial"/>
                <w:sz w:val="26"/>
                <w:szCs w:val="26"/>
              </w:rPr>
            </w:pPr>
            <w:r>
              <w:rPr>
                <w:rFonts w:ascii="Arial" w:eastAsia="標楷體" w:hAnsi="Arial" w:cs="Arial" w:hint="eastAsia"/>
                <w:sz w:val="26"/>
                <w:szCs w:val="26"/>
              </w:rPr>
              <w:lastRenderedPageBreak/>
              <w:t>考量證券投資信託事業兼營期貨信託事業之業者遵循及作業一致性</w:t>
            </w:r>
            <w:r w:rsidRPr="00125E01">
              <w:rPr>
                <w:rFonts w:ascii="Arial" w:eastAsia="標楷體" w:hAnsi="Arial" w:cs="Arial"/>
                <w:sz w:val="26"/>
                <w:szCs w:val="26"/>
              </w:rPr>
              <w:t>，</w:t>
            </w:r>
            <w:proofErr w:type="gramStart"/>
            <w:r>
              <w:rPr>
                <w:rFonts w:ascii="Arial" w:eastAsia="標楷體" w:hAnsi="Arial" w:cs="Arial" w:hint="eastAsia"/>
                <w:sz w:val="26"/>
                <w:szCs w:val="26"/>
              </w:rPr>
              <w:t>爰</w:t>
            </w:r>
            <w:proofErr w:type="gramEnd"/>
            <w:r>
              <w:rPr>
                <w:rFonts w:ascii="Arial" w:eastAsia="標楷體" w:hAnsi="Arial" w:cs="Arial" w:hint="eastAsia"/>
                <w:sz w:val="26"/>
                <w:szCs w:val="26"/>
              </w:rPr>
              <w:t>參酌</w:t>
            </w:r>
            <w:r w:rsidRPr="003C51DE">
              <w:rPr>
                <w:rFonts w:ascii="Arial" w:eastAsia="標楷體" w:hAnsi="Arial" w:cs="Arial" w:hint="eastAsia"/>
                <w:sz w:val="26"/>
                <w:szCs w:val="26"/>
              </w:rPr>
              <w:t>「</w:t>
            </w:r>
            <w:r w:rsidRPr="00125E01">
              <w:rPr>
                <w:rFonts w:ascii="Arial" w:eastAsia="標楷體" w:hAnsi="Arial" w:cs="Arial"/>
                <w:sz w:val="26"/>
                <w:szCs w:val="26"/>
              </w:rPr>
              <w:t>證券</w:t>
            </w:r>
            <w:r w:rsidRPr="00125E01">
              <w:rPr>
                <w:rFonts w:ascii="Arial" w:eastAsia="標楷體" w:hAnsi="Arial" w:cs="Arial"/>
                <w:sz w:val="26"/>
                <w:szCs w:val="26"/>
              </w:rPr>
              <w:lastRenderedPageBreak/>
              <w:t>投資信託事業證券投資顧問事業辦理高齡金融消費者金融商品或服務適合度評估準則</w:t>
            </w:r>
            <w:r w:rsidRPr="003C51DE">
              <w:rPr>
                <w:rFonts w:ascii="Arial" w:eastAsia="標楷體" w:hAnsi="Arial" w:cs="Arial" w:hint="eastAsia"/>
                <w:sz w:val="26"/>
                <w:szCs w:val="26"/>
              </w:rPr>
              <w:t>」</w:t>
            </w:r>
            <w:r>
              <w:rPr>
                <w:rFonts w:ascii="Arial" w:eastAsia="標楷體" w:hAnsi="Arial" w:cs="Arial" w:hint="eastAsia"/>
                <w:sz w:val="26"/>
                <w:szCs w:val="26"/>
              </w:rPr>
              <w:t>修正</w:t>
            </w:r>
            <w:r w:rsidRPr="00125E01">
              <w:rPr>
                <w:rFonts w:ascii="Arial" w:eastAsia="標楷體" w:hAnsi="Arial" w:cs="Arial"/>
                <w:sz w:val="26"/>
                <w:szCs w:val="26"/>
              </w:rPr>
              <w:t>期貨信託事業於</w:t>
            </w:r>
            <w:r w:rsidRPr="00EB77BF">
              <w:rPr>
                <w:rFonts w:ascii="Arial" w:eastAsia="標楷體" w:hAnsi="Arial" w:cs="Arial" w:hint="eastAsia"/>
                <w:sz w:val="26"/>
                <w:szCs w:val="26"/>
              </w:rPr>
              <w:t>弱勢</w:t>
            </w:r>
            <w:r w:rsidRPr="00125E01">
              <w:rPr>
                <w:rFonts w:ascii="Arial" w:eastAsia="標楷體" w:hAnsi="Arial" w:cs="Arial"/>
                <w:sz w:val="26"/>
                <w:szCs w:val="26"/>
              </w:rPr>
              <w:t>高齡客戶從事金融商品交易，應辦理交易後回訪</w:t>
            </w:r>
            <w:r>
              <w:rPr>
                <w:rFonts w:ascii="Arial" w:eastAsia="標楷體" w:hAnsi="Arial" w:cs="Arial" w:hint="eastAsia"/>
                <w:sz w:val="26"/>
                <w:szCs w:val="26"/>
              </w:rPr>
              <w:t>之規定</w:t>
            </w:r>
            <w:r w:rsidRPr="00125E01">
              <w:rPr>
                <w:rFonts w:ascii="Arial" w:eastAsia="標楷體" w:hAnsi="Arial" w:cs="Arial"/>
                <w:sz w:val="26"/>
                <w:szCs w:val="26"/>
              </w:rPr>
              <w:t>。</w:t>
            </w:r>
          </w:p>
        </w:tc>
      </w:tr>
    </w:tbl>
    <w:p w:rsidR="007E7E95" w:rsidRPr="004F1B32" w:rsidRDefault="007E7E95"/>
    <w:sectPr w:rsidR="007E7E95" w:rsidRPr="004F1B3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F1" w:rsidRDefault="00380BF1" w:rsidP="004F1B32">
      <w:r>
        <w:separator/>
      </w:r>
    </w:p>
  </w:endnote>
  <w:endnote w:type="continuationSeparator" w:id="0">
    <w:p w:rsidR="00380BF1" w:rsidRDefault="00380BF1" w:rsidP="004F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5188"/>
      <w:docPartObj>
        <w:docPartGallery w:val="Page Numbers (Bottom of Page)"/>
        <w:docPartUnique/>
      </w:docPartObj>
    </w:sdtPr>
    <w:sdtEndPr>
      <w:rPr>
        <w:rFonts w:ascii="Arial" w:hAnsi="Arial" w:cs="Arial"/>
      </w:rPr>
    </w:sdtEndPr>
    <w:sdtContent>
      <w:p w:rsidR="004F1B32" w:rsidRPr="004F1B32" w:rsidRDefault="004F1B32">
        <w:pPr>
          <w:pStyle w:val="a6"/>
          <w:jc w:val="center"/>
          <w:rPr>
            <w:rFonts w:ascii="Arial" w:hAnsi="Arial" w:cs="Arial"/>
          </w:rPr>
        </w:pPr>
        <w:r w:rsidRPr="004F1B32">
          <w:rPr>
            <w:rFonts w:ascii="Arial" w:hAnsi="Arial" w:cs="Arial"/>
          </w:rPr>
          <w:fldChar w:fldCharType="begin"/>
        </w:r>
        <w:r w:rsidRPr="004F1B32">
          <w:rPr>
            <w:rFonts w:ascii="Arial" w:hAnsi="Arial" w:cs="Arial"/>
          </w:rPr>
          <w:instrText>PAGE   \* MERGEFORMAT</w:instrText>
        </w:r>
        <w:r w:rsidRPr="004F1B32">
          <w:rPr>
            <w:rFonts w:ascii="Arial" w:hAnsi="Arial" w:cs="Arial"/>
          </w:rPr>
          <w:fldChar w:fldCharType="separate"/>
        </w:r>
        <w:r w:rsidR="004D43D7" w:rsidRPr="004D43D7">
          <w:rPr>
            <w:rFonts w:ascii="Arial" w:hAnsi="Arial" w:cs="Arial"/>
            <w:noProof/>
            <w:lang w:val="zh-TW"/>
          </w:rPr>
          <w:t>6</w:t>
        </w:r>
        <w:r w:rsidRPr="004F1B32">
          <w:rPr>
            <w:rFonts w:ascii="Arial" w:hAnsi="Arial" w:cs="Arial"/>
          </w:rPr>
          <w:fldChar w:fldCharType="end"/>
        </w:r>
      </w:p>
    </w:sdtContent>
  </w:sdt>
  <w:p w:rsidR="004F1B32" w:rsidRDefault="004F1B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F1" w:rsidRDefault="00380BF1" w:rsidP="004F1B32">
      <w:r>
        <w:separator/>
      </w:r>
    </w:p>
  </w:footnote>
  <w:footnote w:type="continuationSeparator" w:id="0">
    <w:p w:rsidR="00380BF1" w:rsidRDefault="00380BF1" w:rsidP="004F1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32"/>
    <w:rsid w:val="00380BF1"/>
    <w:rsid w:val="004D43D7"/>
    <w:rsid w:val="004F1B32"/>
    <w:rsid w:val="007E7E95"/>
    <w:rsid w:val="00AD7CD9"/>
    <w:rsid w:val="00C55152"/>
    <w:rsid w:val="00E80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0454D-8E2A-496F-835C-88CE619D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B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1B32"/>
    <w:pPr>
      <w:tabs>
        <w:tab w:val="center" w:pos="4153"/>
        <w:tab w:val="right" w:pos="8306"/>
      </w:tabs>
      <w:snapToGrid w:val="0"/>
    </w:pPr>
    <w:rPr>
      <w:sz w:val="20"/>
      <w:szCs w:val="20"/>
    </w:rPr>
  </w:style>
  <w:style w:type="character" w:customStyle="1" w:styleId="a5">
    <w:name w:val="頁首 字元"/>
    <w:basedOn w:val="a0"/>
    <w:link w:val="a4"/>
    <w:uiPriority w:val="99"/>
    <w:rsid w:val="004F1B32"/>
    <w:rPr>
      <w:sz w:val="20"/>
      <w:szCs w:val="20"/>
    </w:rPr>
  </w:style>
  <w:style w:type="paragraph" w:styleId="a6">
    <w:name w:val="footer"/>
    <w:basedOn w:val="a"/>
    <w:link w:val="a7"/>
    <w:uiPriority w:val="99"/>
    <w:unhideWhenUsed/>
    <w:rsid w:val="004F1B32"/>
    <w:pPr>
      <w:tabs>
        <w:tab w:val="center" w:pos="4153"/>
        <w:tab w:val="right" w:pos="8306"/>
      </w:tabs>
      <w:snapToGrid w:val="0"/>
    </w:pPr>
    <w:rPr>
      <w:sz w:val="20"/>
      <w:szCs w:val="20"/>
    </w:rPr>
  </w:style>
  <w:style w:type="character" w:customStyle="1" w:styleId="a7">
    <w:name w:val="頁尾 字元"/>
    <w:basedOn w:val="a0"/>
    <w:link w:val="a6"/>
    <w:uiPriority w:val="99"/>
    <w:rsid w:val="004F1B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湯志彬</dc:creator>
  <cp:keywords/>
  <dc:description/>
  <cp:lastModifiedBy>湯志彬</cp:lastModifiedBy>
  <cp:revision>3</cp:revision>
  <dcterms:created xsi:type="dcterms:W3CDTF">2022-05-19T01:23:00Z</dcterms:created>
  <dcterms:modified xsi:type="dcterms:W3CDTF">2022-06-10T03:32:00Z</dcterms:modified>
</cp:coreProperties>
</file>