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0" w:rsidRPr="00CF75E0" w:rsidRDefault="00CF75E0" w:rsidP="00CF75E0">
      <w:pPr>
        <w:spacing w:line="400" w:lineRule="exact"/>
        <w:jc w:val="center"/>
        <w:rPr>
          <w:rFonts w:ascii="標楷體" w:eastAsia="標楷體" w:hAnsi="標楷體"/>
          <w:sz w:val="28"/>
          <w:szCs w:val="28"/>
        </w:rPr>
      </w:pPr>
      <w:bookmarkStart w:id="0" w:name="_GoBack"/>
      <w:bookmarkEnd w:id="0"/>
      <w:r w:rsidRPr="00CF75E0">
        <w:rPr>
          <w:rFonts w:ascii="標楷體" w:eastAsia="標楷體" w:hAnsi="標楷體" w:hint="eastAsia"/>
          <w:sz w:val="28"/>
          <w:szCs w:val="28"/>
        </w:rPr>
        <w:t>「期貨商暨槓桿交易商評估洗錢及資恐風險及訂定相關防制計畫指引」</w:t>
      </w:r>
    </w:p>
    <w:p w:rsidR="00774448" w:rsidRDefault="003E6786" w:rsidP="00CF75E0">
      <w:pPr>
        <w:spacing w:line="400" w:lineRule="exact"/>
        <w:jc w:val="center"/>
      </w:pPr>
      <w:r>
        <w:rPr>
          <w:rFonts w:ascii="標楷體" w:eastAsia="標楷體" w:hAnsi="標楷體" w:hint="eastAsia"/>
          <w:sz w:val="28"/>
          <w:szCs w:val="28"/>
        </w:rPr>
        <w:t xml:space="preserve">  </w:t>
      </w:r>
      <w:r w:rsidR="00CF75E0" w:rsidRPr="00CF75E0">
        <w:rPr>
          <w:rFonts w:ascii="標楷體" w:eastAsia="標楷體" w:hAnsi="標楷體" w:hint="eastAsia"/>
          <w:sz w:val="28"/>
          <w:szCs w:val="28"/>
        </w:rPr>
        <w:t>修正條文對照表</w:t>
      </w:r>
    </w:p>
    <w:tbl>
      <w:tblPr>
        <w:tblStyle w:val="a3"/>
        <w:tblW w:w="0" w:type="auto"/>
        <w:tblInd w:w="108" w:type="dxa"/>
        <w:tblLook w:val="04A0" w:firstRow="1" w:lastRow="0" w:firstColumn="1" w:lastColumn="0" w:noHBand="0" w:noVBand="1"/>
      </w:tblPr>
      <w:tblGrid>
        <w:gridCol w:w="3217"/>
        <w:gridCol w:w="3216"/>
        <w:gridCol w:w="3087"/>
      </w:tblGrid>
      <w:tr w:rsidR="00CF75E0" w:rsidRPr="00CF75E0" w:rsidTr="00CF75E0">
        <w:tc>
          <w:tcPr>
            <w:tcW w:w="3261" w:type="dxa"/>
          </w:tcPr>
          <w:p w:rsidR="00CF75E0" w:rsidRPr="00CF75E0" w:rsidRDefault="00CF75E0" w:rsidP="00996FC5">
            <w:pPr>
              <w:spacing w:line="400" w:lineRule="exact"/>
              <w:jc w:val="center"/>
              <w:rPr>
                <w:rFonts w:ascii="標楷體" w:eastAsia="標楷體" w:hAnsi="標楷體"/>
              </w:rPr>
            </w:pPr>
            <w:r w:rsidRPr="00CF75E0">
              <w:rPr>
                <w:rFonts w:ascii="標楷體" w:eastAsia="標楷體" w:hAnsi="標楷體" w:hint="eastAsia"/>
              </w:rPr>
              <w:t>修正條文</w:t>
            </w:r>
          </w:p>
        </w:tc>
        <w:tc>
          <w:tcPr>
            <w:tcW w:w="3260" w:type="dxa"/>
          </w:tcPr>
          <w:p w:rsidR="00CF75E0" w:rsidRPr="00CF75E0" w:rsidRDefault="00CF75E0" w:rsidP="00996FC5">
            <w:pPr>
              <w:spacing w:line="400" w:lineRule="exact"/>
              <w:jc w:val="center"/>
              <w:rPr>
                <w:rFonts w:ascii="標楷體" w:eastAsia="標楷體" w:hAnsi="標楷體"/>
              </w:rPr>
            </w:pPr>
            <w:r w:rsidRPr="00CF75E0">
              <w:rPr>
                <w:rFonts w:ascii="標楷體" w:eastAsia="標楷體" w:hAnsi="標楷體" w:hint="eastAsia"/>
              </w:rPr>
              <w:t>現行條文</w:t>
            </w:r>
          </w:p>
        </w:tc>
        <w:tc>
          <w:tcPr>
            <w:tcW w:w="3118" w:type="dxa"/>
          </w:tcPr>
          <w:p w:rsidR="00CF75E0" w:rsidRPr="00CF75E0" w:rsidRDefault="00CF75E0" w:rsidP="00996FC5">
            <w:pPr>
              <w:spacing w:line="400" w:lineRule="exact"/>
              <w:jc w:val="center"/>
              <w:rPr>
                <w:rFonts w:ascii="標楷體" w:eastAsia="標楷體" w:hAnsi="標楷體"/>
              </w:rPr>
            </w:pPr>
            <w:r w:rsidRPr="00CF75E0">
              <w:rPr>
                <w:rFonts w:ascii="標楷體" w:eastAsia="標楷體" w:hAnsi="標楷體" w:hint="eastAsia"/>
              </w:rPr>
              <w:t>修正說明</w:t>
            </w:r>
          </w:p>
        </w:tc>
      </w:tr>
      <w:tr w:rsidR="00CF75E0" w:rsidRPr="00CF75E0" w:rsidTr="00CF75E0">
        <w:tc>
          <w:tcPr>
            <w:tcW w:w="3261" w:type="dxa"/>
          </w:tcPr>
          <w:p w:rsidR="00CF75E0" w:rsidRPr="00CF75E0" w:rsidRDefault="003E6786" w:rsidP="003E6786">
            <w:pPr>
              <w:spacing w:line="400" w:lineRule="exact"/>
              <w:ind w:left="360" w:hangingChars="150" w:hanging="360"/>
              <w:rPr>
                <w:rFonts w:ascii="標楷體" w:eastAsia="標楷體" w:hAnsi="標楷體"/>
              </w:rPr>
            </w:pPr>
            <w:r>
              <w:rPr>
                <w:rFonts w:ascii="標楷體" w:eastAsia="標楷體" w:hAnsi="標楷體" w:hint="eastAsia"/>
              </w:rPr>
              <w:t>一、</w:t>
            </w:r>
            <w:r w:rsidR="00CF75E0" w:rsidRPr="00CF75E0">
              <w:rPr>
                <w:rFonts w:ascii="標楷體" w:eastAsia="標楷體" w:hAnsi="標楷體" w:hint="eastAsia"/>
              </w:rPr>
              <w:t>本指引依「</w:t>
            </w:r>
            <w:r w:rsidR="00CF75E0" w:rsidRPr="003E6786">
              <w:rPr>
                <w:rFonts w:ascii="標楷體" w:eastAsia="標楷體" w:hAnsi="標楷體" w:hint="eastAsia"/>
              </w:rPr>
              <w:t>證券期貨業</w:t>
            </w:r>
            <w:r w:rsidRPr="003E6786">
              <w:rPr>
                <w:rFonts w:ascii="標楷體" w:eastAsia="標楷體" w:hAnsi="標楷體" w:hint="eastAsia"/>
                <w:u w:val="single"/>
              </w:rPr>
              <w:t>及其他經金融監督管理委員會指定之金融機構防制洗錢及打擊資恐內部控制與稽核制度實施辦法</w:t>
            </w:r>
            <w:r w:rsidR="00CF75E0" w:rsidRPr="00CF75E0">
              <w:rPr>
                <w:rFonts w:ascii="標楷體" w:eastAsia="標楷體" w:hAnsi="標楷體" w:hint="eastAsia"/>
              </w:rPr>
              <w:t>」訂定，以防制洗錢及打擊資恐為目的，內容涵括期貨商、槓桿交易商如何辨識、評估各項業務之洗錢及資恐風險，以及制訂防制洗錢及打擊資恐計畫等面向，作為執行之依據。</w:t>
            </w:r>
          </w:p>
        </w:tc>
        <w:tc>
          <w:tcPr>
            <w:tcW w:w="3260" w:type="dxa"/>
          </w:tcPr>
          <w:p w:rsidR="00CF75E0" w:rsidRPr="00CF75E0" w:rsidRDefault="003E6786" w:rsidP="003E6786">
            <w:pPr>
              <w:spacing w:line="400" w:lineRule="exact"/>
              <w:ind w:left="360" w:hangingChars="150" w:hanging="360"/>
              <w:rPr>
                <w:rFonts w:ascii="標楷體" w:eastAsia="標楷體" w:hAnsi="標楷體"/>
              </w:rPr>
            </w:pPr>
            <w:r>
              <w:rPr>
                <w:rFonts w:ascii="標楷體" w:eastAsia="標楷體" w:hAnsi="標楷體" w:hint="eastAsia"/>
              </w:rPr>
              <w:t>一、</w:t>
            </w:r>
            <w:r w:rsidR="00CF75E0" w:rsidRPr="00CF75E0">
              <w:rPr>
                <w:rFonts w:ascii="標楷體" w:eastAsia="標楷體" w:hAnsi="標楷體" w:hint="eastAsia"/>
              </w:rPr>
              <w:t>本指引依「證券期貨業</w:t>
            </w:r>
            <w:r w:rsidR="00CF75E0" w:rsidRPr="003E6786">
              <w:rPr>
                <w:rFonts w:ascii="標楷體" w:eastAsia="標楷體" w:hAnsi="標楷體" w:hint="eastAsia"/>
                <w:u w:val="single"/>
              </w:rPr>
              <w:t>防制洗錢及打擊資恐內部控制要點</w:t>
            </w:r>
            <w:r w:rsidR="00CF75E0" w:rsidRPr="00CF75E0">
              <w:rPr>
                <w:rFonts w:ascii="標楷體" w:eastAsia="標楷體" w:hAnsi="標楷體" w:hint="eastAsia"/>
              </w:rPr>
              <w:t>」訂定，以防制洗錢及打擊資恐為目的，內容涵括期貨商、槓桿交易商如何辨識、評估各項業務之洗錢及資恐風險，以及制訂防制洗錢及打擊資恐計畫等面向，作為執行之依據。</w:t>
            </w:r>
          </w:p>
        </w:tc>
        <w:tc>
          <w:tcPr>
            <w:tcW w:w="3118" w:type="dxa"/>
          </w:tcPr>
          <w:p w:rsidR="00CF75E0" w:rsidRPr="00CF75E0" w:rsidRDefault="00CF75E0" w:rsidP="008B1F31">
            <w:pPr>
              <w:spacing w:line="400" w:lineRule="exact"/>
              <w:rPr>
                <w:rFonts w:ascii="標楷體" w:eastAsia="標楷體" w:hAnsi="標楷體"/>
              </w:rPr>
            </w:pPr>
            <w:r w:rsidRPr="00CF75E0">
              <w:rPr>
                <w:rFonts w:ascii="標楷體" w:eastAsia="標楷體" w:hAnsi="標楷體" w:hint="eastAsia"/>
              </w:rPr>
              <w:t>鑒於金融監督管理委員會(以下簡稱金管會)於107年11月9日以金管證發字第10703407285號令廢止「證券期貨業防制洗錢及打擊資恐內部控制要點」</w:t>
            </w:r>
            <w:r w:rsidR="008B1F31">
              <w:rPr>
                <w:rFonts w:ascii="標楷體" w:eastAsia="標楷體" w:hAnsi="標楷體" w:hint="eastAsia"/>
              </w:rPr>
              <w:t>（以下簡稱內控要點），爰刪除本指引相關引用法源，</w:t>
            </w:r>
            <w:r w:rsidRPr="00CF75E0">
              <w:rPr>
                <w:rFonts w:ascii="標楷體" w:eastAsia="標楷體" w:hAnsi="標楷體" w:hint="eastAsia"/>
              </w:rPr>
              <w:t>及</w:t>
            </w:r>
            <w:r w:rsidR="008B1F31">
              <w:rPr>
                <w:rFonts w:ascii="標楷體" w:eastAsia="標楷體" w:hAnsi="標楷體" w:hint="eastAsia"/>
              </w:rPr>
              <w:t>金管會</w:t>
            </w:r>
            <w:r w:rsidRPr="00CF75E0">
              <w:rPr>
                <w:rFonts w:ascii="標楷體" w:eastAsia="標楷體" w:hAnsi="標楷體" w:hint="eastAsia"/>
              </w:rPr>
              <w:t>107年11月9日以金管證發字第1070340728號令發布「證券期貨業及其他經金融監督管理委員會指定之金融機構防制洗錢及打擊資恐內部控制與稽核制度實施辦法」（以下簡稱實施辦法），其內容已涵蓋內控要點，故僅就實施辦法與內控要點之條文差異部分與本指引相關部分進行調整。</w:t>
            </w:r>
          </w:p>
        </w:tc>
      </w:tr>
      <w:tr w:rsidR="00CF75E0" w:rsidRPr="00CF75E0" w:rsidTr="00CF75E0">
        <w:tc>
          <w:tcPr>
            <w:tcW w:w="3261" w:type="dxa"/>
          </w:tcPr>
          <w:p w:rsidR="00CF75E0" w:rsidRPr="003E6786" w:rsidRDefault="00CF75E0" w:rsidP="003139EE">
            <w:pPr>
              <w:spacing w:line="400" w:lineRule="exact"/>
              <w:ind w:left="360" w:hangingChars="150" w:hanging="360"/>
              <w:rPr>
                <w:rFonts w:ascii="標楷體" w:eastAsia="標楷體" w:hAnsi="標楷體"/>
                <w:strike/>
              </w:rPr>
            </w:pPr>
          </w:p>
        </w:tc>
        <w:tc>
          <w:tcPr>
            <w:tcW w:w="3260" w:type="dxa"/>
          </w:tcPr>
          <w:p w:rsidR="00CF75E0" w:rsidRPr="003E6786" w:rsidRDefault="003E6786" w:rsidP="003E6786">
            <w:pPr>
              <w:spacing w:line="400" w:lineRule="exact"/>
              <w:ind w:left="360" w:hangingChars="150" w:hanging="360"/>
              <w:rPr>
                <w:rFonts w:ascii="標楷體" w:eastAsia="標楷體" w:hAnsi="標楷體"/>
                <w:u w:val="single"/>
              </w:rPr>
            </w:pPr>
            <w:r>
              <w:rPr>
                <w:rFonts w:ascii="標楷體" w:eastAsia="標楷體" w:hAnsi="標楷體" w:hint="eastAsia"/>
                <w:u w:val="single"/>
              </w:rPr>
              <w:t>九、</w:t>
            </w:r>
            <w:r w:rsidR="00CF75E0" w:rsidRPr="003E6786">
              <w:rPr>
                <w:rFonts w:ascii="標楷體" w:eastAsia="標楷體" w:hAnsi="標楷體" w:hint="eastAsia"/>
                <w:u w:val="single"/>
              </w:rPr>
              <w:t>期貨商、槓桿交易商依據本指引訂定之政策應經過董事會通過後實施，並與其「防制洗錢及打擊資恐注意事項」陳報金管會備查；並應每年檢討。修正時亦同。</w:t>
            </w:r>
          </w:p>
        </w:tc>
        <w:tc>
          <w:tcPr>
            <w:tcW w:w="3118" w:type="dxa"/>
          </w:tcPr>
          <w:p w:rsidR="00CF75E0" w:rsidRPr="00CF75E0" w:rsidRDefault="00CF75E0" w:rsidP="003E6786">
            <w:pPr>
              <w:spacing w:line="400" w:lineRule="exact"/>
              <w:rPr>
                <w:rFonts w:ascii="標楷體" w:eastAsia="標楷體" w:hAnsi="標楷體"/>
              </w:rPr>
            </w:pPr>
            <w:r w:rsidRPr="00CF75E0">
              <w:rPr>
                <w:rFonts w:ascii="標楷體" w:eastAsia="標楷體" w:hAnsi="標楷體" w:hint="eastAsia"/>
              </w:rPr>
              <w:t>鑒於本範本第</w:t>
            </w:r>
            <w:r w:rsidR="00720054">
              <w:rPr>
                <w:rFonts w:ascii="標楷體" w:eastAsia="標楷體" w:hAnsi="標楷體" w:hint="eastAsia"/>
              </w:rPr>
              <w:t>十</w:t>
            </w:r>
            <w:r w:rsidRPr="00CF75E0">
              <w:rPr>
                <w:rFonts w:ascii="標楷體" w:eastAsia="標楷體" w:hAnsi="標楷體" w:hint="eastAsia"/>
              </w:rPr>
              <w:t>二條第一項已敘明</w:t>
            </w:r>
            <w:r w:rsidR="003E6786" w:rsidRPr="003E6786">
              <w:rPr>
                <w:rFonts w:ascii="標楷體" w:eastAsia="標楷體" w:hAnsi="標楷體" w:hint="eastAsia"/>
              </w:rPr>
              <w:t>期貨商、槓桿交易商</w:t>
            </w:r>
            <w:r w:rsidRPr="00CF75E0">
              <w:rPr>
                <w:rFonts w:ascii="標楷體" w:eastAsia="標楷體" w:hAnsi="標楷體" w:hint="eastAsia"/>
              </w:rPr>
              <w:t>依「</w:t>
            </w:r>
            <w:r w:rsidR="003E6786">
              <w:rPr>
                <w:rFonts w:ascii="標楷體" w:eastAsia="標楷體" w:hAnsi="標楷體" w:hint="eastAsia"/>
              </w:rPr>
              <w:t>證券</w:t>
            </w:r>
            <w:r w:rsidR="003E6786" w:rsidRPr="003E6786">
              <w:rPr>
                <w:rFonts w:ascii="標楷體" w:eastAsia="標楷體" w:hAnsi="標楷體" w:hint="eastAsia"/>
              </w:rPr>
              <w:t>期貨</w:t>
            </w:r>
            <w:r w:rsidR="003E6786">
              <w:rPr>
                <w:rFonts w:ascii="標楷體" w:eastAsia="標楷體" w:hAnsi="標楷體" w:hint="eastAsia"/>
              </w:rPr>
              <w:t>業</w:t>
            </w:r>
            <w:r w:rsidRPr="00CF75E0">
              <w:rPr>
                <w:rFonts w:ascii="標楷體" w:eastAsia="標楷體" w:hAnsi="標楷體" w:hint="eastAsia"/>
              </w:rPr>
              <w:t>及其他經金融監督管理委員會指定之金融機構防制洗錢及打擊資恐內部控制與稽核制度實施辦法」第六條規定建立防制洗錢及打擊資恐之內部控制制度，應經董(理)事會通過；又配合洗錢防制法第六條第一項之修正，</w:t>
            </w:r>
            <w:r w:rsidR="003E6786" w:rsidRPr="003E6786">
              <w:rPr>
                <w:rFonts w:ascii="標楷體" w:eastAsia="標楷體" w:hAnsi="標楷體" w:hint="eastAsia"/>
              </w:rPr>
              <w:t>期貨商、槓桿</w:t>
            </w:r>
            <w:r w:rsidR="003E6786" w:rsidRPr="003E6786">
              <w:rPr>
                <w:rFonts w:ascii="標楷體" w:eastAsia="標楷體" w:hAnsi="標楷體" w:hint="eastAsia"/>
              </w:rPr>
              <w:lastRenderedPageBreak/>
              <w:t>交易商</w:t>
            </w:r>
            <w:r w:rsidRPr="00CF75E0">
              <w:rPr>
                <w:rFonts w:ascii="標楷體" w:eastAsia="標楷體" w:hAnsi="標楷體" w:hint="eastAsia"/>
              </w:rPr>
              <w:t>已無報送主管機關備查之法源依據，爰刪除本點</w:t>
            </w:r>
          </w:p>
        </w:tc>
      </w:tr>
    </w:tbl>
    <w:p w:rsidR="00CF75E0" w:rsidRDefault="00CF75E0"/>
    <w:sectPr w:rsidR="00CF75E0" w:rsidSect="00CF75E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02" w:rsidRDefault="009C0302" w:rsidP="003E6786">
      <w:r>
        <w:separator/>
      </w:r>
    </w:p>
  </w:endnote>
  <w:endnote w:type="continuationSeparator" w:id="0">
    <w:p w:rsidR="009C0302" w:rsidRDefault="009C0302" w:rsidP="003E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02" w:rsidRDefault="009C0302" w:rsidP="003E6786">
      <w:r>
        <w:separator/>
      </w:r>
    </w:p>
  </w:footnote>
  <w:footnote w:type="continuationSeparator" w:id="0">
    <w:p w:rsidR="009C0302" w:rsidRDefault="009C0302" w:rsidP="003E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0"/>
    <w:rsid w:val="00032028"/>
    <w:rsid w:val="000A21EA"/>
    <w:rsid w:val="000C396B"/>
    <w:rsid w:val="0012285B"/>
    <w:rsid w:val="0019113C"/>
    <w:rsid w:val="001E66D9"/>
    <w:rsid w:val="003139EE"/>
    <w:rsid w:val="003E6786"/>
    <w:rsid w:val="004672A9"/>
    <w:rsid w:val="004808BD"/>
    <w:rsid w:val="00583C6C"/>
    <w:rsid w:val="006E72C4"/>
    <w:rsid w:val="00720054"/>
    <w:rsid w:val="00774448"/>
    <w:rsid w:val="008059B4"/>
    <w:rsid w:val="00817DEF"/>
    <w:rsid w:val="008B1F31"/>
    <w:rsid w:val="009668C9"/>
    <w:rsid w:val="00996FC5"/>
    <w:rsid w:val="009C0302"/>
    <w:rsid w:val="00B262D4"/>
    <w:rsid w:val="00BA424C"/>
    <w:rsid w:val="00BA45FB"/>
    <w:rsid w:val="00C807DE"/>
    <w:rsid w:val="00CF75E0"/>
    <w:rsid w:val="00D76255"/>
    <w:rsid w:val="00D97CD1"/>
    <w:rsid w:val="00E0754E"/>
    <w:rsid w:val="00E65153"/>
    <w:rsid w:val="00E76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C1F65-F2B6-419E-922A-E935379A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786"/>
    <w:pPr>
      <w:tabs>
        <w:tab w:val="center" w:pos="4153"/>
        <w:tab w:val="right" w:pos="8306"/>
      </w:tabs>
      <w:snapToGrid w:val="0"/>
    </w:pPr>
    <w:rPr>
      <w:sz w:val="20"/>
      <w:szCs w:val="20"/>
    </w:rPr>
  </w:style>
  <w:style w:type="character" w:customStyle="1" w:styleId="a5">
    <w:name w:val="頁首 字元"/>
    <w:basedOn w:val="a0"/>
    <w:link w:val="a4"/>
    <w:uiPriority w:val="99"/>
    <w:rsid w:val="003E6786"/>
    <w:rPr>
      <w:sz w:val="20"/>
      <w:szCs w:val="20"/>
    </w:rPr>
  </w:style>
  <w:style w:type="paragraph" w:styleId="a6">
    <w:name w:val="footer"/>
    <w:basedOn w:val="a"/>
    <w:link w:val="a7"/>
    <w:uiPriority w:val="99"/>
    <w:unhideWhenUsed/>
    <w:rsid w:val="003E6786"/>
    <w:pPr>
      <w:tabs>
        <w:tab w:val="center" w:pos="4153"/>
        <w:tab w:val="right" w:pos="8306"/>
      </w:tabs>
      <w:snapToGrid w:val="0"/>
    </w:pPr>
    <w:rPr>
      <w:sz w:val="20"/>
      <w:szCs w:val="20"/>
    </w:rPr>
  </w:style>
  <w:style w:type="character" w:customStyle="1" w:styleId="a7">
    <w:name w:val="頁尾 字元"/>
    <w:basedOn w:val="a0"/>
    <w:link w:val="a6"/>
    <w:uiPriority w:val="99"/>
    <w:rsid w:val="003E6786"/>
    <w:rPr>
      <w:sz w:val="20"/>
      <w:szCs w:val="20"/>
    </w:rPr>
  </w:style>
  <w:style w:type="paragraph" w:styleId="HTML">
    <w:name w:val="HTML Preformatted"/>
    <w:basedOn w:val="a"/>
    <w:link w:val="HTML0"/>
    <w:uiPriority w:val="99"/>
    <w:semiHidden/>
    <w:unhideWhenUsed/>
    <w:rsid w:val="000A21EA"/>
    <w:rPr>
      <w:rFonts w:ascii="Courier New" w:hAnsi="Courier New" w:cs="Courier New"/>
      <w:sz w:val="20"/>
      <w:szCs w:val="20"/>
    </w:rPr>
  </w:style>
  <w:style w:type="character" w:customStyle="1" w:styleId="HTML0">
    <w:name w:val="HTML 預設格式 字元"/>
    <w:basedOn w:val="a0"/>
    <w:link w:val="HTML"/>
    <w:uiPriority w:val="99"/>
    <w:semiHidden/>
    <w:rsid w:val="000A21E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Hewlett-Packard Company</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張瓊文</dc:creator>
  <cp:lastModifiedBy>黎衍君</cp:lastModifiedBy>
  <cp:revision>2</cp:revision>
  <cp:lastPrinted>2019-06-06T08:39:00Z</cp:lastPrinted>
  <dcterms:created xsi:type="dcterms:W3CDTF">2022-02-08T08:42:00Z</dcterms:created>
  <dcterms:modified xsi:type="dcterms:W3CDTF">2022-02-08T08:42:00Z</dcterms:modified>
</cp:coreProperties>
</file>