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4A0" w:firstRow="1" w:lastRow="0" w:firstColumn="1" w:lastColumn="0" w:noHBand="0" w:noVBand="1"/>
      </w:tblPr>
      <w:tblGrid>
        <w:gridCol w:w="3284"/>
        <w:gridCol w:w="3284"/>
        <w:gridCol w:w="3286"/>
      </w:tblGrid>
      <w:tr w:rsidR="00F13072" w:rsidRPr="00A3365F" w:rsidTr="00F13072">
        <w:trPr>
          <w:tblHeader/>
        </w:trPr>
        <w:tc>
          <w:tcPr>
            <w:tcW w:w="1666" w:type="pct"/>
          </w:tcPr>
          <w:p w:rsidR="00F13072" w:rsidRPr="00A3365F" w:rsidRDefault="00F13072" w:rsidP="00F85F4C">
            <w:pPr>
              <w:spacing w:line="360" w:lineRule="exact"/>
              <w:jc w:val="center"/>
              <w:rPr>
                <w:rFonts w:ascii="標楷體" w:eastAsia="標楷體" w:hAnsi="標楷體"/>
                <w:szCs w:val="24"/>
              </w:rPr>
            </w:pPr>
            <w:r w:rsidRPr="00A3365F">
              <w:rPr>
                <w:rFonts w:ascii="標楷體" w:eastAsia="標楷體" w:hAnsi="標楷體" w:cs="新細明體" w:hint="eastAsia"/>
                <w:color w:val="000000"/>
                <w:szCs w:val="24"/>
              </w:rPr>
              <w:t xml:space="preserve">    </w:t>
            </w:r>
            <w:r w:rsidRPr="00A3365F">
              <w:rPr>
                <w:rFonts w:ascii="標楷體" w:eastAsia="標楷體" w:hAnsi="標楷體" w:hint="eastAsia"/>
                <w:szCs w:val="24"/>
              </w:rPr>
              <w:t>修正條文</w:t>
            </w:r>
          </w:p>
        </w:tc>
        <w:tc>
          <w:tcPr>
            <w:tcW w:w="1666" w:type="pct"/>
          </w:tcPr>
          <w:p w:rsidR="00F13072" w:rsidRPr="00A3365F" w:rsidRDefault="00F13072" w:rsidP="00F85F4C">
            <w:pPr>
              <w:spacing w:line="360" w:lineRule="exact"/>
              <w:jc w:val="center"/>
              <w:rPr>
                <w:rFonts w:ascii="標楷體" w:eastAsia="標楷體" w:hAnsi="標楷體"/>
                <w:szCs w:val="24"/>
              </w:rPr>
            </w:pPr>
            <w:r w:rsidRPr="00A3365F">
              <w:rPr>
                <w:rFonts w:ascii="標楷體" w:eastAsia="標楷體" w:hAnsi="標楷體" w:hint="eastAsia"/>
                <w:szCs w:val="24"/>
              </w:rPr>
              <w:t>原條文</w:t>
            </w:r>
          </w:p>
        </w:tc>
        <w:tc>
          <w:tcPr>
            <w:tcW w:w="1667" w:type="pct"/>
          </w:tcPr>
          <w:p w:rsidR="00F13072" w:rsidRPr="00A3365F" w:rsidRDefault="00F13072" w:rsidP="00F85F4C">
            <w:pPr>
              <w:spacing w:line="360" w:lineRule="exact"/>
              <w:jc w:val="center"/>
              <w:rPr>
                <w:rFonts w:ascii="標楷體" w:eastAsia="標楷體" w:hAnsi="標楷體"/>
                <w:szCs w:val="24"/>
              </w:rPr>
            </w:pPr>
            <w:r w:rsidRPr="00A3365F">
              <w:rPr>
                <w:rFonts w:ascii="標楷體" w:eastAsia="標楷體" w:hAnsi="標楷體" w:hint="eastAsia"/>
                <w:szCs w:val="24"/>
              </w:rPr>
              <w:t>說明</w:t>
            </w:r>
          </w:p>
        </w:tc>
      </w:tr>
      <w:tr w:rsidR="00F13072" w:rsidRPr="00A3365F" w:rsidTr="00F13072">
        <w:tc>
          <w:tcPr>
            <w:tcW w:w="1666" w:type="pct"/>
          </w:tcPr>
          <w:p w:rsidR="00F13072" w:rsidRPr="00A3365F" w:rsidRDefault="00F13072" w:rsidP="00F85F4C">
            <w:pPr>
              <w:spacing w:line="360" w:lineRule="exact"/>
              <w:ind w:left="1080" w:hangingChars="450" w:hanging="1080"/>
              <w:jc w:val="both"/>
              <w:rPr>
                <w:rFonts w:ascii="標楷體" w:eastAsia="標楷體" w:hAnsi="標楷體"/>
                <w:szCs w:val="24"/>
              </w:rPr>
            </w:pPr>
            <w:r w:rsidRPr="00A3365F">
              <w:rPr>
                <w:rFonts w:ascii="標楷體" w:eastAsia="標楷體" w:hAnsi="標楷體" w:hint="eastAsia"/>
                <w:szCs w:val="24"/>
              </w:rPr>
              <w:t xml:space="preserve">第 四 條 </w:t>
            </w:r>
          </w:p>
          <w:p w:rsidR="00F13072" w:rsidRPr="00A3365F" w:rsidRDefault="00F13072" w:rsidP="00F85F4C">
            <w:pPr>
              <w:spacing w:line="360" w:lineRule="exact"/>
              <w:ind w:firstLineChars="200" w:firstLine="480"/>
              <w:jc w:val="both"/>
              <w:rPr>
                <w:rFonts w:ascii="標楷體" w:eastAsia="標楷體" w:hAnsi="標楷體"/>
                <w:szCs w:val="24"/>
              </w:rPr>
            </w:pPr>
            <w:r w:rsidRPr="00A3365F">
              <w:rPr>
                <w:rFonts w:ascii="標楷體" w:eastAsia="標楷體" w:hAnsi="標楷體" w:hint="eastAsia"/>
                <w:szCs w:val="24"/>
              </w:rPr>
              <w:t>本公會會員應考量交易人之年齡、知識、經驗及資產狀況，避免為不適當之業務招攬。</w:t>
            </w:r>
          </w:p>
          <w:p w:rsidR="00F13072" w:rsidRPr="00A3365F" w:rsidRDefault="00F13072" w:rsidP="00F85F4C">
            <w:pPr>
              <w:spacing w:line="360" w:lineRule="exact"/>
              <w:rPr>
                <w:rFonts w:ascii="標楷體" w:eastAsia="標楷體" w:hAnsi="標楷體"/>
                <w:szCs w:val="24"/>
              </w:rPr>
            </w:pPr>
            <w:r w:rsidRPr="00A3365F">
              <w:rPr>
                <w:rFonts w:ascii="標楷體" w:eastAsia="標楷體" w:hAnsi="標楷體" w:hint="eastAsia"/>
                <w:szCs w:val="24"/>
              </w:rPr>
              <w:t xml:space="preserve">   </w:t>
            </w:r>
            <w:r w:rsidRPr="00A3365F">
              <w:rPr>
                <w:rFonts w:ascii="標楷體" w:eastAsia="標楷體" w:hAnsi="標楷體" w:hint="eastAsia"/>
                <w:color w:val="FF0000"/>
                <w:szCs w:val="24"/>
                <w:u w:val="single"/>
              </w:rPr>
              <w:t>本公會會員受託從事期貨交易，應先請交易人應填寫「期貨交易知識認知表」（附件一），</w:t>
            </w:r>
            <w:r w:rsidRPr="00A3365F">
              <w:rPr>
                <w:rFonts w:ascii="標楷體" w:eastAsia="標楷體" w:hAnsi="標楷體" w:hint="eastAsia"/>
                <w:color w:val="FF0000"/>
                <w:szCs w:val="24"/>
                <w:u w:val="single"/>
                <w:lang w:eastAsia="zh-HK"/>
              </w:rPr>
              <w:t>但本規則第三條所稱專業投資機構，不在此限。</w:t>
            </w:r>
          </w:p>
        </w:tc>
        <w:tc>
          <w:tcPr>
            <w:tcW w:w="1666" w:type="pct"/>
          </w:tcPr>
          <w:p w:rsidR="00F13072" w:rsidRPr="00A3365F" w:rsidRDefault="00F13072" w:rsidP="00F85F4C">
            <w:pPr>
              <w:spacing w:line="360" w:lineRule="exact"/>
              <w:ind w:left="1080" w:hangingChars="450" w:hanging="1080"/>
              <w:jc w:val="both"/>
              <w:rPr>
                <w:rFonts w:ascii="標楷體" w:eastAsia="標楷體" w:hAnsi="標楷體"/>
                <w:szCs w:val="24"/>
              </w:rPr>
            </w:pPr>
            <w:r w:rsidRPr="00A3365F">
              <w:rPr>
                <w:rFonts w:ascii="標楷體" w:eastAsia="標楷體" w:hAnsi="標楷體" w:hint="eastAsia"/>
                <w:szCs w:val="24"/>
              </w:rPr>
              <w:t xml:space="preserve">第 四 條 </w:t>
            </w:r>
          </w:p>
          <w:p w:rsidR="00F13072" w:rsidRPr="00A3365F" w:rsidRDefault="00F13072" w:rsidP="00F85F4C">
            <w:pPr>
              <w:spacing w:line="360" w:lineRule="exact"/>
              <w:ind w:firstLineChars="200" w:firstLine="480"/>
              <w:jc w:val="both"/>
              <w:rPr>
                <w:rFonts w:ascii="標楷體" w:eastAsia="標楷體" w:hAnsi="標楷體"/>
                <w:szCs w:val="24"/>
              </w:rPr>
            </w:pPr>
            <w:r w:rsidRPr="00A3365F">
              <w:rPr>
                <w:rFonts w:ascii="標楷體" w:eastAsia="標楷體" w:hAnsi="標楷體" w:hint="eastAsia"/>
                <w:szCs w:val="24"/>
              </w:rPr>
              <w:t>本公會會員應考量交易人之年齡、知識、經驗及資產狀況，避免為不適當之業務招攬。</w:t>
            </w:r>
          </w:p>
        </w:tc>
        <w:tc>
          <w:tcPr>
            <w:tcW w:w="1667" w:type="pct"/>
          </w:tcPr>
          <w:p w:rsidR="00F13072" w:rsidRPr="00A3365F" w:rsidRDefault="00F13072" w:rsidP="00F85F4C">
            <w:pPr>
              <w:spacing w:line="360" w:lineRule="exact"/>
              <w:rPr>
                <w:rFonts w:ascii="標楷體" w:eastAsia="標楷體" w:hAnsi="標楷體"/>
                <w:b/>
                <w:szCs w:val="24"/>
              </w:rPr>
            </w:pPr>
            <w:r w:rsidRPr="00A3365F">
              <w:rPr>
                <w:rFonts w:ascii="標楷體" w:eastAsia="標楷體" w:hAnsi="標楷體" w:hint="eastAsia"/>
                <w:szCs w:val="24"/>
                <w:lang w:eastAsia="zh-HK"/>
              </w:rPr>
              <w:t>增訂</w:t>
            </w:r>
            <w:r w:rsidRPr="00A3365F">
              <w:rPr>
                <w:rFonts w:ascii="標楷體" w:eastAsia="標楷體" w:hAnsi="標楷體" w:hint="eastAsia"/>
                <w:szCs w:val="24"/>
              </w:rPr>
              <w:t>本公會會員受託從事期貨交易，應先請交易人應填寫「期貨交易知識認知表」，並</w:t>
            </w:r>
            <w:r w:rsidRPr="00A3365F">
              <w:rPr>
                <w:rFonts w:ascii="標楷體" w:eastAsia="標楷體" w:hAnsi="標楷體" w:hint="eastAsia"/>
                <w:szCs w:val="24"/>
                <w:lang w:eastAsia="zh-HK"/>
              </w:rPr>
              <w:t>將</w:t>
            </w:r>
            <w:r w:rsidRPr="00A3365F">
              <w:rPr>
                <w:rFonts w:ascii="標楷體" w:eastAsia="標楷體" w:hAnsi="標楷體" w:hint="eastAsia"/>
                <w:szCs w:val="24"/>
              </w:rPr>
              <w:t>專業投資機構</w:t>
            </w:r>
            <w:r w:rsidRPr="00A3365F">
              <w:rPr>
                <w:rFonts w:ascii="標楷體" w:eastAsia="標楷體" w:hAnsi="標楷體" w:hint="eastAsia"/>
                <w:szCs w:val="24"/>
                <w:lang w:eastAsia="zh-HK"/>
              </w:rPr>
              <w:t>排除。</w:t>
            </w:r>
          </w:p>
        </w:tc>
      </w:tr>
      <w:tr w:rsidR="00F13072" w:rsidRPr="00A3365F" w:rsidTr="00F13072">
        <w:tc>
          <w:tcPr>
            <w:tcW w:w="1666" w:type="pct"/>
          </w:tcPr>
          <w:p w:rsidR="00F13072" w:rsidRPr="00A3365F" w:rsidRDefault="00F13072" w:rsidP="00F85F4C">
            <w:pPr>
              <w:spacing w:line="360" w:lineRule="exact"/>
              <w:ind w:left="1080" w:hangingChars="450" w:hanging="1080"/>
              <w:jc w:val="both"/>
              <w:rPr>
                <w:rFonts w:ascii="標楷體" w:eastAsia="標楷體" w:hAnsi="標楷體"/>
                <w:szCs w:val="24"/>
              </w:rPr>
            </w:pPr>
            <w:r w:rsidRPr="00A3365F">
              <w:rPr>
                <w:rFonts w:ascii="標楷體" w:eastAsia="標楷體" w:hAnsi="標楷體" w:hint="eastAsia"/>
                <w:szCs w:val="24"/>
              </w:rPr>
              <w:t xml:space="preserve">第 五 條 </w:t>
            </w:r>
          </w:p>
          <w:p w:rsidR="00F13072" w:rsidRPr="00A3365F" w:rsidRDefault="00F13072" w:rsidP="00F85F4C">
            <w:pPr>
              <w:spacing w:line="360" w:lineRule="exact"/>
              <w:ind w:firstLineChars="200" w:firstLine="480"/>
              <w:jc w:val="both"/>
              <w:rPr>
                <w:rFonts w:ascii="標楷體" w:eastAsia="標楷體" w:hAnsi="標楷體"/>
                <w:szCs w:val="24"/>
              </w:rPr>
            </w:pPr>
            <w:r w:rsidRPr="00A3365F">
              <w:rPr>
                <w:rFonts w:ascii="標楷體" w:eastAsia="標楷體" w:hAnsi="標楷體" w:hint="eastAsia"/>
                <w:szCs w:val="24"/>
              </w:rPr>
              <w:t>本公會會員受託從事期貨交易，應先對交易人辦理徵信，依下列規定辦理：</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szCs w:val="24"/>
              </w:rPr>
              <w:t>一、交易人申請開戶時，應請其詳實填具「開戶申請書暨信用調查表」（附件</w:t>
            </w:r>
            <w:r w:rsidRPr="00A3365F">
              <w:rPr>
                <w:rFonts w:ascii="標楷體" w:eastAsia="標楷體" w:hAnsi="標楷體" w:hint="eastAsia"/>
                <w:color w:val="FF0000"/>
                <w:szCs w:val="24"/>
                <w:u w:val="single"/>
              </w:rPr>
              <w:t>二</w:t>
            </w:r>
            <w:r w:rsidRPr="00A3365F">
              <w:rPr>
                <w:rFonts w:ascii="標楷體" w:eastAsia="標楷體" w:hAnsi="標楷體" w:hint="eastAsia"/>
                <w:szCs w:val="24"/>
              </w:rPr>
              <w:t>），並應依「徵信及審核表」對交易人進行評估，連同其他開戶文件備查。已開戶交易人之徵信資料變更時，應重新辦理徵信。</w:t>
            </w:r>
          </w:p>
          <w:p w:rsidR="00F13072" w:rsidRPr="00A3365F" w:rsidRDefault="00F13072" w:rsidP="00F85F4C">
            <w:pPr>
              <w:spacing w:line="360" w:lineRule="exact"/>
              <w:ind w:left="391" w:hangingChars="163" w:hanging="391"/>
              <w:jc w:val="both"/>
              <w:rPr>
                <w:rFonts w:ascii="標楷體" w:eastAsia="標楷體" w:hAnsi="標楷體"/>
                <w:color w:val="FF0000"/>
                <w:szCs w:val="24"/>
                <w:u w:val="single"/>
              </w:rPr>
            </w:pPr>
            <w:r w:rsidRPr="00A3365F">
              <w:rPr>
                <w:rFonts w:ascii="標楷體" w:eastAsia="標楷體" w:hAnsi="標楷體" w:hint="eastAsia"/>
                <w:color w:val="FF0000"/>
                <w:szCs w:val="24"/>
                <w:u w:val="single"/>
              </w:rPr>
              <w:t>二、期貨商辦理徵信評估作業</w:t>
            </w:r>
            <w:r w:rsidR="00615C97" w:rsidRPr="00BA1345">
              <w:rPr>
                <w:rFonts w:ascii="標楷體" w:eastAsia="標楷體" w:hAnsi="標楷體" w:hint="eastAsia"/>
                <w:color w:val="FF0000"/>
                <w:szCs w:val="24"/>
                <w:u w:val="single"/>
              </w:rPr>
              <w:t>，應以合理方式為之，並確保有效執行，其</w:t>
            </w:r>
            <w:r w:rsidRPr="00A3365F">
              <w:rPr>
                <w:rFonts w:ascii="標楷體" w:eastAsia="標楷體" w:hAnsi="標楷體" w:hint="eastAsia"/>
                <w:color w:val="FF0000"/>
                <w:szCs w:val="24"/>
                <w:u w:val="single"/>
              </w:rPr>
              <w:t>應注意事項如下：</w:t>
            </w:r>
          </w:p>
          <w:p w:rsidR="00F13072" w:rsidRPr="00A3365F" w:rsidRDefault="00F13072" w:rsidP="00F85F4C">
            <w:pPr>
              <w:spacing w:line="360" w:lineRule="exact"/>
              <w:ind w:leftChars="133" w:left="924" w:hangingChars="252" w:hanging="605"/>
              <w:jc w:val="both"/>
              <w:rPr>
                <w:rFonts w:ascii="標楷體" w:eastAsia="標楷體" w:hAnsi="標楷體"/>
                <w:color w:val="FF0000"/>
                <w:szCs w:val="24"/>
                <w:u w:val="single"/>
              </w:rPr>
            </w:pPr>
            <w:r w:rsidRPr="00A3365F">
              <w:rPr>
                <w:rFonts w:ascii="標楷體" w:eastAsia="標楷體" w:hAnsi="標楷體" w:hint="eastAsia"/>
                <w:color w:val="FF0000"/>
                <w:szCs w:val="24"/>
                <w:u w:val="single"/>
              </w:rPr>
              <w:t>(一)徵信人員應就交易人填列之收入或財產，請交易人提供資力證明後，評估其資力額度</w:t>
            </w:r>
            <w:r w:rsidR="00192337" w:rsidRPr="00BA1345">
              <w:rPr>
                <w:rFonts w:ascii="標楷體" w:eastAsia="標楷體" w:hAnsi="標楷體" w:hint="eastAsia"/>
                <w:color w:val="FF0000"/>
                <w:szCs w:val="24"/>
                <w:u w:val="single"/>
              </w:rPr>
              <w:t>及風險承擔能力，</w:t>
            </w:r>
            <w:r w:rsidRPr="00A3365F">
              <w:rPr>
                <w:rFonts w:ascii="標楷體" w:eastAsia="標楷體" w:hAnsi="標楷體" w:hint="eastAsia"/>
                <w:color w:val="FF0000"/>
                <w:szCs w:val="24"/>
                <w:u w:val="single"/>
              </w:rPr>
              <w:t>並核給交易額度。所稱交易額度，係指交易人委託中及未沖銷期貨、選擇權部位所需保證金</w:t>
            </w:r>
            <w:r w:rsidRPr="00A3365F">
              <w:rPr>
                <w:rFonts w:ascii="標楷體" w:eastAsia="標楷體" w:hAnsi="標楷體" w:hint="eastAsia"/>
                <w:color w:val="FF0000"/>
                <w:szCs w:val="24"/>
                <w:u w:val="single"/>
              </w:rPr>
              <w:lastRenderedPageBreak/>
              <w:t>之總額。</w:t>
            </w:r>
          </w:p>
          <w:p w:rsidR="00F13072" w:rsidRPr="00A3365F" w:rsidRDefault="00F13072" w:rsidP="00F85F4C">
            <w:pPr>
              <w:spacing w:line="360" w:lineRule="exact"/>
              <w:ind w:leftChars="133" w:left="924" w:hangingChars="252" w:hanging="605"/>
              <w:jc w:val="both"/>
              <w:rPr>
                <w:rFonts w:ascii="標楷體" w:eastAsia="標楷體" w:hAnsi="標楷體"/>
                <w:color w:val="FF0000"/>
                <w:szCs w:val="24"/>
                <w:u w:val="single"/>
              </w:rPr>
            </w:pPr>
            <w:r w:rsidRPr="00A3365F">
              <w:rPr>
                <w:rFonts w:ascii="標楷體" w:eastAsia="標楷體" w:hAnsi="標楷體" w:hint="eastAsia"/>
                <w:color w:val="FF0000"/>
                <w:szCs w:val="24"/>
                <w:u w:val="single"/>
              </w:rPr>
              <w:t>(二)核給交易額度超過50萬元者，應請交易人提出相關資力證明文件:</w:t>
            </w:r>
          </w:p>
          <w:p w:rsidR="00F13072" w:rsidRPr="00A3365F" w:rsidRDefault="00F13072" w:rsidP="00F85F4C">
            <w:pPr>
              <w:spacing w:line="360" w:lineRule="exact"/>
              <w:ind w:leftChars="133" w:left="924" w:hangingChars="252" w:hanging="605"/>
              <w:jc w:val="both"/>
              <w:rPr>
                <w:rFonts w:ascii="標楷體" w:eastAsia="標楷體" w:hAnsi="標楷體"/>
                <w:color w:val="FF0000"/>
                <w:szCs w:val="24"/>
                <w:u w:val="single"/>
              </w:rPr>
            </w:pPr>
            <w:r w:rsidRPr="00A3365F">
              <w:rPr>
                <w:rFonts w:ascii="標楷體" w:eastAsia="標楷體" w:hAnsi="標楷體" w:hint="eastAsia"/>
                <w:color w:val="FF0000"/>
                <w:szCs w:val="24"/>
              </w:rPr>
              <w:t xml:space="preserve">     </w:t>
            </w:r>
            <w:r w:rsidRPr="00A3365F">
              <w:rPr>
                <w:rFonts w:ascii="標楷體" w:eastAsia="標楷體" w:hAnsi="標楷體" w:hint="eastAsia"/>
                <w:color w:val="FF0000"/>
                <w:szCs w:val="24"/>
                <w:u w:val="single"/>
              </w:rPr>
              <w:t>1.金融機構存款證明（如：存摺、定存單、存款餘額證明書及交易人保證金專戶中之入金及已實現利益等）。</w:t>
            </w:r>
          </w:p>
          <w:p w:rsidR="00F13072" w:rsidRPr="00A3365F" w:rsidRDefault="00F13072" w:rsidP="00F85F4C">
            <w:pPr>
              <w:spacing w:line="360" w:lineRule="exact"/>
              <w:ind w:leftChars="133" w:left="924" w:hangingChars="252" w:hanging="605"/>
              <w:jc w:val="both"/>
              <w:rPr>
                <w:rFonts w:ascii="標楷體" w:eastAsia="標楷體" w:hAnsi="標楷體"/>
                <w:color w:val="FF0000"/>
                <w:szCs w:val="24"/>
                <w:u w:val="single"/>
              </w:rPr>
            </w:pPr>
            <w:r w:rsidRPr="00A3365F">
              <w:rPr>
                <w:rFonts w:ascii="標楷體" w:eastAsia="標楷體" w:hAnsi="標楷體" w:hint="eastAsia"/>
                <w:color w:val="FF0000"/>
                <w:szCs w:val="24"/>
              </w:rPr>
              <w:t xml:space="preserve">     </w:t>
            </w:r>
            <w:r w:rsidRPr="00A3365F">
              <w:rPr>
                <w:rFonts w:ascii="標楷體" w:eastAsia="標楷體" w:hAnsi="標楷體" w:hint="eastAsia"/>
                <w:color w:val="FF0000"/>
                <w:szCs w:val="24"/>
                <w:u w:val="single"/>
              </w:rPr>
              <w:t>2.持有有價證券之證明（如：集保證券存摺股票、債券、債券保管憑證等）。</w:t>
            </w:r>
          </w:p>
          <w:p w:rsidR="00F13072" w:rsidRPr="00A3365F" w:rsidRDefault="00F13072" w:rsidP="00F85F4C">
            <w:pPr>
              <w:spacing w:line="360" w:lineRule="exact"/>
              <w:ind w:leftChars="133" w:left="924" w:hangingChars="252" w:hanging="605"/>
              <w:jc w:val="both"/>
              <w:rPr>
                <w:rFonts w:ascii="標楷體" w:eastAsia="標楷體" w:hAnsi="標楷體"/>
                <w:color w:val="FF0000"/>
                <w:szCs w:val="24"/>
                <w:u w:val="single"/>
              </w:rPr>
            </w:pPr>
            <w:r w:rsidRPr="00A3365F">
              <w:rPr>
                <w:rFonts w:ascii="標楷體" w:eastAsia="標楷體" w:hAnsi="標楷體" w:hint="eastAsia"/>
                <w:color w:val="FF0000"/>
                <w:szCs w:val="24"/>
              </w:rPr>
              <w:t xml:space="preserve">     </w:t>
            </w:r>
            <w:r w:rsidRPr="00A3365F">
              <w:rPr>
                <w:rFonts w:ascii="標楷體" w:eastAsia="標楷體" w:hAnsi="標楷體" w:hint="eastAsia"/>
                <w:color w:val="FF0000"/>
                <w:szCs w:val="24"/>
                <w:u w:val="single"/>
              </w:rPr>
              <w:t>3.不動產所有權狀或繳稅書。</w:t>
            </w:r>
          </w:p>
          <w:p w:rsidR="00F13072" w:rsidRPr="00A3365F" w:rsidRDefault="00F13072" w:rsidP="00F85F4C">
            <w:pPr>
              <w:spacing w:line="360" w:lineRule="exact"/>
              <w:ind w:leftChars="133" w:left="924" w:hangingChars="252" w:hanging="605"/>
              <w:jc w:val="both"/>
              <w:rPr>
                <w:rFonts w:ascii="標楷體" w:eastAsia="標楷體" w:hAnsi="標楷體"/>
                <w:color w:val="FF0000"/>
                <w:szCs w:val="24"/>
                <w:u w:val="single"/>
              </w:rPr>
            </w:pPr>
            <w:r w:rsidRPr="00A3365F">
              <w:rPr>
                <w:rFonts w:ascii="標楷體" w:eastAsia="標楷體" w:hAnsi="標楷體" w:hint="eastAsia"/>
                <w:color w:val="FF0000"/>
                <w:szCs w:val="24"/>
              </w:rPr>
              <w:t xml:space="preserve">     </w:t>
            </w:r>
            <w:r w:rsidRPr="00A3365F">
              <w:rPr>
                <w:rFonts w:ascii="標楷體" w:eastAsia="標楷體" w:hAnsi="標楷體" w:hint="eastAsia"/>
                <w:color w:val="FF0000"/>
                <w:szCs w:val="24"/>
                <w:u w:val="single"/>
              </w:rPr>
              <w:t>4.其他經期貨商自行評估後，認定足以證明其資力之文件。</w:t>
            </w:r>
          </w:p>
          <w:p w:rsidR="00F13072" w:rsidRPr="00A3365F" w:rsidRDefault="00F13072" w:rsidP="00F85F4C">
            <w:pPr>
              <w:spacing w:line="360" w:lineRule="exact"/>
              <w:ind w:leftChars="385" w:left="924"/>
              <w:jc w:val="both"/>
              <w:rPr>
                <w:rFonts w:ascii="標楷體" w:eastAsia="標楷體" w:hAnsi="標楷體"/>
                <w:color w:val="FF0000"/>
                <w:szCs w:val="24"/>
                <w:u w:val="single"/>
              </w:rPr>
            </w:pPr>
            <w:r w:rsidRPr="00A3365F">
              <w:rPr>
                <w:rFonts w:ascii="標楷體" w:eastAsia="標楷體" w:hAnsi="標楷體" w:hint="eastAsia"/>
                <w:color w:val="FF0000"/>
                <w:szCs w:val="24"/>
                <w:u w:val="single"/>
              </w:rPr>
              <w:t>徵信人員就交易人提供之不動產資力證明文件，應查詢他項權利設定，並得經由與地政事務所連結之網際網路機構查證列印有否設定他項權利等情事；若有設定他項權利時，評估之資力應扣除設定金額後計算，但實際借款金額小於設定金額時，交易人如提出實際借款金額之證明，其評估之資力額度得以</w:t>
            </w:r>
            <w:r w:rsidRPr="00A3365F">
              <w:rPr>
                <w:rFonts w:ascii="標楷體" w:eastAsia="標楷體" w:hAnsi="標楷體" w:hint="eastAsia"/>
                <w:color w:val="FF0000"/>
                <w:szCs w:val="24"/>
                <w:u w:val="single"/>
              </w:rPr>
              <w:lastRenderedPageBreak/>
              <w:t>扣除實際借款金額後計算。</w:t>
            </w:r>
          </w:p>
          <w:p w:rsidR="00F13072" w:rsidRPr="00A3365F" w:rsidRDefault="00F13072" w:rsidP="00F85F4C">
            <w:pPr>
              <w:spacing w:line="360" w:lineRule="exact"/>
              <w:ind w:leftChars="133" w:left="924" w:hangingChars="252" w:hanging="605"/>
              <w:jc w:val="both"/>
              <w:rPr>
                <w:rFonts w:ascii="標楷體" w:eastAsia="標楷體" w:hAnsi="標楷體"/>
                <w:color w:val="FF0000"/>
                <w:szCs w:val="24"/>
                <w:u w:val="single"/>
              </w:rPr>
            </w:pPr>
            <w:r w:rsidRPr="00A3365F">
              <w:rPr>
                <w:rFonts w:ascii="標楷體" w:eastAsia="標楷體" w:hAnsi="標楷體" w:hint="eastAsia"/>
                <w:color w:val="FF0000"/>
                <w:szCs w:val="24"/>
                <w:u w:val="single"/>
              </w:rPr>
              <w:t>(三)交易人未提供資力證明資料或經期貨商評估後交易人資力額度未超過50萬者，期貨商核給交易額度不得超過50萬元。</w:t>
            </w:r>
          </w:p>
          <w:p w:rsidR="00F13072" w:rsidRPr="00A3365F" w:rsidRDefault="00F13072" w:rsidP="00F85F4C">
            <w:pPr>
              <w:spacing w:line="360" w:lineRule="exact"/>
              <w:ind w:leftChars="133" w:left="924" w:hangingChars="252" w:hanging="605"/>
              <w:jc w:val="both"/>
              <w:rPr>
                <w:rFonts w:ascii="標楷體" w:eastAsia="標楷體" w:hAnsi="標楷體"/>
                <w:color w:val="FF0000"/>
                <w:szCs w:val="24"/>
                <w:u w:val="single"/>
              </w:rPr>
            </w:pPr>
            <w:r w:rsidRPr="00A3365F">
              <w:rPr>
                <w:rFonts w:ascii="標楷體" w:eastAsia="標楷體" w:hAnsi="標楷體" w:hint="eastAsia"/>
                <w:color w:val="FF0000"/>
                <w:szCs w:val="24"/>
                <w:u w:val="single"/>
              </w:rPr>
              <w:t>(四)交易人入金及已實現</w:t>
            </w:r>
            <w:r w:rsidRPr="00B9447D">
              <w:rPr>
                <w:rFonts w:ascii="標楷體" w:eastAsia="標楷體" w:hAnsi="標楷體" w:hint="eastAsia"/>
                <w:color w:val="FF0000"/>
                <w:szCs w:val="24"/>
                <w:u w:val="single"/>
              </w:rPr>
              <w:t>利</w:t>
            </w:r>
            <w:r w:rsidR="008B779C" w:rsidRPr="00B9447D">
              <w:rPr>
                <w:rFonts w:ascii="標楷體" w:eastAsia="標楷體" w:hAnsi="標楷體" w:hint="eastAsia"/>
                <w:color w:val="FF0000"/>
                <w:szCs w:val="24"/>
                <w:u w:val="single"/>
              </w:rPr>
              <w:t>益</w:t>
            </w:r>
            <w:r w:rsidRPr="00A3365F">
              <w:rPr>
                <w:rFonts w:ascii="標楷體" w:eastAsia="標楷體" w:hAnsi="標楷體" w:hint="eastAsia"/>
                <w:color w:val="FF0000"/>
                <w:szCs w:val="24"/>
                <w:u w:val="single"/>
              </w:rPr>
              <w:t>計入資力額度，出金及已實現損失應從資力額度扣除。</w:t>
            </w:r>
          </w:p>
          <w:p w:rsidR="00F13072" w:rsidRPr="00A3365F" w:rsidRDefault="00F13072" w:rsidP="00F85F4C">
            <w:pPr>
              <w:spacing w:line="360" w:lineRule="exact"/>
              <w:ind w:leftChars="133" w:left="924" w:hangingChars="252" w:hanging="605"/>
              <w:jc w:val="both"/>
              <w:rPr>
                <w:rFonts w:ascii="標楷體" w:eastAsia="標楷體" w:hAnsi="標楷體"/>
                <w:color w:val="0000FF"/>
                <w:szCs w:val="24"/>
                <w:u w:val="single"/>
              </w:rPr>
            </w:pPr>
            <w:r w:rsidRPr="00A3365F">
              <w:rPr>
                <w:rFonts w:ascii="標楷體" w:eastAsia="標楷體" w:hAnsi="標楷體" w:hint="eastAsia"/>
                <w:color w:val="FF0000"/>
                <w:szCs w:val="24"/>
                <w:u w:val="single"/>
              </w:rPr>
              <w:t>(五)期貨商得依交易人申請或</w:t>
            </w:r>
            <w:r w:rsidR="00662619" w:rsidRPr="00B9447D">
              <w:rPr>
                <w:rFonts w:ascii="標楷體" w:eastAsia="標楷體" w:hAnsi="標楷體" w:hint="eastAsia"/>
                <w:color w:val="FF0000"/>
                <w:szCs w:val="24"/>
                <w:u w:val="single"/>
              </w:rPr>
              <w:t>基於專業及風險上考量，</w:t>
            </w:r>
            <w:r w:rsidRPr="00A3365F">
              <w:rPr>
                <w:rFonts w:ascii="標楷體" w:eastAsia="標楷體" w:hAnsi="標楷體" w:hint="eastAsia"/>
                <w:color w:val="FF0000"/>
                <w:szCs w:val="24"/>
                <w:u w:val="single"/>
              </w:rPr>
              <w:t>於知悉交易人財力變動時，更新徵信資料並留存紀錄。</w:t>
            </w:r>
            <w:r w:rsidRPr="00B9447D">
              <w:rPr>
                <w:rFonts w:ascii="標楷體" w:eastAsia="標楷體" w:hAnsi="標楷體" w:hint="eastAsia"/>
                <w:color w:val="FF0000"/>
                <w:szCs w:val="24"/>
                <w:u w:val="single"/>
              </w:rPr>
              <w:t>交易人徵信資料每年至少應更新乙次。</w:t>
            </w:r>
          </w:p>
          <w:p w:rsidR="00651CA5" w:rsidRPr="00B9447D" w:rsidRDefault="00651CA5" w:rsidP="00F85F4C">
            <w:pPr>
              <w:spacing w:line="360" w:lineRule="exact"/>
              <w:ind w:leftChars="133" w:left="924" w:hangingChars="252" w:hanging="605"/>
              <w:jc w:val="both"/>
              <w:rPr>
                <w:rFonts w:ascii="標楷體" w:eastAsia="標楷體" w:hAnsi="標楷體"/>
                <w:color w:val="FF0000"/>
                <w:szCs w:val="24"/>
                <w:u w:val="single"/>
              </w:rPr>
            </w:pPr>
            <w:r w:rsidRPr="00B9447D">
              <w:rPr>
                <w:rFonts w:ascii="標楷體" w:eastAsia="標楷體" w:hAnsi="標楷體" w:hint="eastAsia"/>
                <w:color w:val="FF0000"/>
                <w:szCs w:val="24"/>
                <w:u w:val="single"/>
              </w:rPr>
              <w:t xml:space="preserve">(六)期貨商辦理交易人重新徵信時，應依交易人的資力證明，重新評估交易人資力額度及風險承擔能力，並核給交易額度，且應完備重新徵信之程序；須調整交易額度時，應以適當之方式通知交易人。 </w:t>
            </w:r>
          </w:p>
          <w:p w:rsidR="00651CA5" w:rsidRPr="00A3365F" w:rsidRDefault="00651CA5" w:rsidP="00F85F4C">
            <w:pPr>
              <w:spacing w:line="360" w:lineRule="exact"/>
              <w:ind w:leftChars="133" w:left="924" w:hangingChars="252" w:hanging="605"/>
              <w:jc w:val="both"/>
              <w:rPr>
                <w:rFonts w:ascii="標楷體" w:eastAsia="標楷體" w:hAnsi="標楷體"/>
                <w:color w:val="FF0000"/>
                <w:szCs w:val="24"/>
                <w:u w:val="single"/>
              </w:rPr>
            </w:pPr>
            <w:r w:rsidRPr="00B9447D">
              <w:rPr>
                <w:rFonts w:ascii="標楷體" w:eastAsia="標楷體" w:hAnsi="標楷體" w:hint="eastAsia"/>
                <w:color w:val="FF0000"/>
                <w:szCs w:val="24"/>
                <w:u w:val="single"/>
              </w:rPr>
              <w:t>(七)前二目交易人申請紀錄、相關徵信審核、評估紀錄及通知紀錄等應連同其他開</w:t>
            </w:r>
            <w:r w:rsidRPr="00B9447D">
              <w:rPr>
                <w:rFonts w:ascii="標楷體" w:eastAsia="標楷體" w:hAnsi="標楷體" w:hint="eastAsia"/>
                <w:color w:val="FF0000"/>
                <w:szCs w:val="24"/>
                <w:u w:val="single"/>
              </w:rPr>
              <w:lastRenderedPageBreak/>
              <w:t>戶文件留存備查。</w:t>
            </w:r>
          </w:p>
          <w:p w:rsidR="00F13072" w:rsidRPr="00A3365F" w:rsidRDefault="00F13072" w:rsidP="00F85F4C">
            <w:pPr>
              <w:spacing w:line="360" w:lineRule="exact"/>
              <w:ind w:leftChars="133" w:left="924" w:hangingChars="252" w:hanging="605"/>
              <w:jc w:val="both"/>
              <w:rPr>
                <w:rFonts w:ascii="標楷體" w:eastAsia="標楷體" w:hAnsi="標楷體"/>
                <w:color w:val="FF0000"/>
                <w:szCs w:val="24"/>
                <w:u w:val="single"/>
              </w:rPr>
            </w:pPr>
            <w:r w:rsidRPr="00B9447D">
              <w:rPr>
                <w:rFonts w:ascii="標楷體" w:eastAsia="標楷體" w:hAnsi="標楷體" w:hint="eastAsia"/>
                <w:color w:val="FF0000"/>
                <w:szCs w:val="24"/>
                <w:u w:val="single"/>
              </w:rPr>
              <w:t>(</w:t>
            </w:r>
            <w:r w:rsidR="0020778B" w:rsidRPr="00B9447D">
              <w:rPr>
                <w:rFonts w:ascii="標楷體" w:eastAsia="標楷體" w:hAnsi="標楷體" w:hint="eastAsia"/>
                <w:color w:val="FF0000"/>
                <w:szCs w:val="24"/>
                <w:u w:val="single"/>
              </w:rPr>
              <w:t>八</w:t>
            </w:r>
            <w:r w:rsidRPr="00B9447D">
              <w:rPr>
                <w:rFonts w:ascii="標楷體" w:eastAsia="標楷體" w:hAnsi="標楷體" w:hint="eastAsia"/>
                <w:color w:val="FF0000"/>
                <w:szCs w:val="24"/>
                <w:u w:val="single"/>
              </w:rPr>
              <w:t>)</w:t>
            </w:r>
            <w:r w:rsidRPr="00A3365F">
              <w:rPr>
                <w:rFonts w:ascii="標楷體" w:eastAsia="標楷體" w:hAnsi="標楷體" w:hint="eastAsia"/>
                <w:color w:val="FF0000"/>
                <w:szCs w:val="24"/>
                <w:u w:val="single"/>
              </w:rPr>
              <w:t>交易人委託中及未沖銷期貨、選擇權部位所需保證金之總額</w:t>
            </w:r>
            <w:r w:rsidRPr="00A3365F">
              <w:rPr>
                <w:rFonts w:ascii="標楷體" w:eastAsia="標楷體" w:hAnsi="標楷體"/>
                <w:color w:val="FF0000"/>
                <w:szCs w:val="24"/>
                <w:u w:val="single"/>
              </w:rPr>
              <w:t>，</w:t>
            </w:r>
            <w:r w:rsidRPr="00A3365F">
              <w:rPr>
                <w:rFonts w:ascii="標楷體" w:eastAsia="標楷體" w:hAnsi="標楷體" w:hint="eastAsia"/>
                <w:color w:val="FF0000"/>
                <w:szCs w:val="24"/>
                <w:u w:val="single"/>
              </w:rPr>
              <w:t>不得超過期貨商所評核資力額度，但因市場行情變動或保證金調整，使交易人已持有未沖銷部位所需原始保證金超過期貨商所評核資力額度者，無須強制交易人減少部位。</w:t>
            </w:r>
          </w:p>
          <w:p w:rsidR="00F13072" w:rsidRPr="00A3365F" w:rsidRDefault="00F13072" w:rsidP="00F85F4C">
            <w:pPr>
              <w:spacing w:line="360" w:lineRule="exact"/>
              <w:ind w:left="391" w:hangingChars="163" w:hanging="391"/>
              <w:jc w:val="both"/>
              <w:rPr>
                <w:rFonts w:ascii="標楷體" w:eastAsia="標楷體" w:hAnsi="標楷體"/>
                <w:color w:val="FF0000"/>
                <w:szCs w:val="24"/>
                <w:u w:val="single"/>
              </w:rPr>
            </w:pPr>
            <w:r w:rsidRPr="00A3365F">
              <w:rPr>
                <w:rFonts w:ascii="標楷體" w:eastAsia="標楷體" w:hAnsi="標楷體" w:hint="eastAsia"/>
                <w:color w:val="FF0000"/>
                <w:szCs w:val="24"/>
                <w:u w:val="single"/>
                <w:lang w:eastAsia="zh-HK"/>
              </w:rPr>
              <w:t>三、</w:t>
            </w:r>
            <w:r w:rsidRPr="00A3365F">
              <w:rPr>
                <w:rFonts w:ascii="標楷體" w:eastAsia="標楷體" w:hAnsi="標楷體" w:hint="eastAsia"/>
                <w:color w:val="FF0000"/>
                <w:szCs w:val="24"/>
                <w:u w:val="single"/>
              </w:rPr>
              <w:t>受理本規則第三條所稱專業投資機構開戶，得</w:t>
            </w:r>
            <w:r w:rsidRPr="00B9447D">
              <w:rPr>
                <w:rFonts w:ascii="標楷體" w:eastAsia="標楷體" w:hAnsi="標楷體" w:hint="eastAsia"/>
                <w:color w:val="FF0000"/>
                <w:szCs w:val="24"/>
                <w:u w:val="single"/>
              </w:rPr>
              <w:t>在本公會會員對交易人之風險控管政策與範圍內，自行評估該交易人之交易額度，免依前款之規定辦理，但交易人屬經由保管機構保管款券之國內外投資機構，得暫不設定交易額度。</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lang w:eastAsia="zh-HK"/>
              </w:rPr>
              <w:t>四</w:t>
            </w:r>
            <w:r w:rsidRPr="00A3365F">
              <w:rPr>
                <w:rFonts w:ascii="標楷體" w:eastAsia="標楷體" w:hAnsi="標楷體" w:hint="eastAsia"/>
                <w:szCs w:val="24"/>
              </w:rPr>
              <w:t>、應每日查詢已開戶交易人及其受任人之證券或期貨違約情形。</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lang w:eastAsia="zh-HK"/>
              </w:rPr>
              <w:t>五</w:t>
            </w:r>
            <w:r w:rsidRPr="00A3365F">
              <w:rPr>
                <w:rFonts w:ascii="標楷體" w:eastAsia="標楷體" w:hAnsi="標楷體" w:hint="eastAsia"/>
                <w:szCs w:val="24"/>
              </w:rPr>
              <w:t>、應就同一交易人於總、分支機構之資產、財力與信用狀況辦理綜合評估。</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lang w:eastAsia="zh-HK"/>
              </w:rPr>
              <w:t>六</w:t>
            </w:r>
            <w:r w:rsidRPr="00A3365F">
              <w:rPr>
                <w:rFonts w:ascii="標楷體" w:eastAsia="標楷體" w:hAnsi="標楷體" w:hint="eastAsia"/>
                <w:szCs w:val="24"/>
              </w:rPr>
              <w:t>、除其他相關法令另有規定者外，交易人應本人辦理開戶。</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lang w:eastAsia="zh-HK"/>
              </w:rPr>
              <w:t>七</w:t>
            </w:r>
            <w:r w:rsidRPr="00A3365F">
              <w:rPr>
                <w:rFonts w:ascii="標楷體" w:eastAsia="標楷體" w:hAnsi="標楷體" w:hint="eastAsia"/>
                <w:szCs w:val="24"/>
              </w:rPr>
              <w:t>、交易人委任他人從事期貨交易，應符合下列規定：</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(一)</w:t>
            </w:r>
            <w:r w:rsidRPr="00A3365F">
              <w:rPr>
                <w:rFonts w:ascii="標楷體" w:eastAsia="標楷體" w:hAnsi="標楷體"/>
                <w:szCs w:val="24"/>
              </w:rPr>
              <w:t>曾因違背期貨交易契約或證券交易契約</w:t>
            </w:r>
            <w:r w:rsidRPr="00A3365F">
              <w:rPr>
                <w:rFonts w:ascii="標楷體" w:eastAsia="標楷體" w:hAnsi="標楷體"/>
                <w:szCs w:val="24"/>
              </w:rPr>
              <w:lastRenderedPageBreak/>
              <w:t>未結案且未滿五年</w:t>
            </w:r>
            <w:r w:rsidRPr="00A3365F">
              <w:rPr>
                <w:rFonts w:ascii="標楷體" w:eastAsia="標楷體" w:hAnsi="標楷體" w:hint="eastAsia"/>
                <w:szCs w:val="24"/>
              </w:rPr>
              <w:t>者不得為受任人。</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(二)期貨商、期貨交易輔助人之負責人與受雇人本人及其配偶不得為受任人。</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(三)為避免受任人從事代客操作，應訂定交易人可委託之受任人及受任人可代理之人數之控管機制。</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(四)受任人為自然人者，年齡應滿20歲且具備行為能力，並應居住於中華民國境內；為外國人者，除為境外外國投資機構之受任人外，以領有華僑身分證明書或外僑居留證者為限。</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(五)應於授權書中載明受任人得從事國內或國外期貨交易。</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六)授權書應以適當字體及顏色加註：「受任人代理委任人從事期貨交易事宜，不得對委任人之委託交易資金，就有關期貨交易為分析、判斷，並基於該分析判斷，為委託人執行期貨交易之業務或有未經核准接受全權委託代為決定種</w:t>
            </w:r>
            <w:r w:rsidRPr="00A3365F">
              <w:rPr>
                <w:rFonts w:ascii="標楷體" w:eastAsia="標楷體" w:hAnsi="標楷體" w:hint="eastAsia"/>
                <w:szCs w:val="24"/>
              </w:rPr>
              <w:lastRenderedPageBreak/>
              <w:t>類、數量、價格之期貨交易行為。受任人若違反前述規定所為之代理行為，委任人需自行負擔全責。」</w:t>
            </w:r>
          </w:p>
          <w:p w:rsidR="00F13072"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lang w:eastAsia="zh-HK"/>
              </w:rPr>
              <w:t>八</w:t>
            </w:r>
            <w:r w:rsidRPr="00A3365F">
              <w:rPr>
                <w:rFonts w:ascii="標楷體" w:eastAsia="標楷體" w:hAnsi="標楷體" w:hint="eastAsia"/>
                <w:szCs w:val="24"/>
              </w:rPr>
              <w:t>、</w:t>
            </w:r>
            <w:r w:rsidR="00FE175E" w:rsidRPr="00FE175E">
              <w:rPr>
                <w:rFonts w:ascii="標楷體" w:eastAsia="標楷體" w:hAnsi="標楷體" w:hint="eastAsia"/>
                <w:szCs w:val="24"/>
              </w:rPr>
              <w:t>70歲以上之交易人有開戶需求者，應具備以下條件：</w:t>
            </w:r>
          </w:p>
          <w:p w:rsidR="00FE175E" w:rsidRPr="00FE175E" w:rsidRDefault="00FE175E" w:rsidP="00F85F4C">
            <w:pPr>
              <w:spacing w:line="360" w:lineRule="exact"/>
              <w:ind w:left="391" w:hangingChars="163" w:hanging="391"/>
              <w:jc w:val="both"/>
              <w:rPr>
                <w:rFonts w:ascii="標楷體" w:eastAsia="標楷體" w:hAnsi="標楷體" w:hint="eastAsia"/>
                <w:szCs w:val="24"/>
              </w:rPr>
            </w:pP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(一)填具「70歲以上交易人開戶聲明書」(附件</w:t>
            </w:r>
            <w:r w:rsidRPr="00A3365F">
              <w:rPr>
                <w:rFonts w:ascii="標楷體" w:eastAsia="標楷體" w:hAnsi="標楷體" w:hint="eastAsia"/>
                <w:color w:val="FF0000"/>
                <w:szCs w:val="24"/>
                <w:u w:val="single"/>
                <w:lang w:eastAsia="zh-HK"/>
              </w:rPr>
              <w:t>三</w:t>
            </w:r>
            <w:r w:rsidRPr="00A3365F">
              <w:rPr>
                <w:rFonts w:ascii="標楷體" w:eastAsia="標楷體" w:hAnsi="標楷體" w:hint="eastAsia"/>
                <w:szCs w:val="24"/>
              </w:rPr>
              <w:t>)，聲明書應以顯著方式標示從事選擇權賣方交易之警語。</w:t>
            </w:r>
          </w:p>
          <w:p w:rsidR="00F13072" w:rsidRPr="00A3365F" w:rsidRDefault="00F13072" w:rsidP="00F85F4C">
            <w:pPr>
              <w:spacing w:line="360" w:lineRule="exact"/>
              <w:ind w:leftChars="193" w:left="933" w:hangingChars="196" w:hanging="470"/>
              <w:jc w:val="both"/>
              <w:rPr>
                <w:rFonts w:ascii="標楷體" w:eastAsia="標楷體" w:hAnsi="標楷體"/>
                <w:szCs w:val="24"/>
              </w:rPr>
            </w:pPr>
            <w:r w:rsidRPr="00A3365F">
              <w:rPr>
                <w:rFonts w:ascii="標楷體" w:eastAsia="標楷體" w:hAnsi="標楷體" w:hint="eastAsia"/>
                <w:szCs w:val="24"/>
              </w:rPr>
              <w:t>(二)曾於期貨、證券市場交易滿10筆，或曾任職於證券、期貨、金融或保險機構，或有其他學經歷足資證明其具備期貨專業知識者。</w:t>
            </w:r>
          </w:p>
          <w:p w:rsidR="00F13072" w:rsidRDefault="00F13072" w:rsidP="00F85F4C">
            <w:pPr>
              <w:spacing w:line="360" w:lineRule="exact"/>
              <w:ind w:leftChars="193" w:left="933" w:hangingChars="196" w:hanging="470"/>
              <w:jc w:val="both"/>
              <w:rPr>
                <w:rFonts w:ascii="標楷體" w:eastAsia="標楷體" w:hAnsi="標楷體"/>
                <w:szCs w:val="24"/>
              </w:rPr>
            </w:pPr>
          </w:p>
          <w:p w:rsidR="000071C1" w:rsidRDefault="000071C1" w:rsidP="00F85F4C">
            <w:pPr>
              <w:spacing w:line="360" w:lineRule="exact"/>
              <w:ind w:leftChars="193" w:left="933" w:hangingChars="196" w:hanging="470"/>
              <w:jc w:val="both"/>
              <w:rPr>
                <w:rFonts w:ascii="標楷體" w:eastAsia="標楷體" w:hAnsi="標楷體"/>
                <w:szCs w:val="24"/>
              </w:rPr>
            </w:pPr>
          </w:p>
          <w:p w:rsidR="000071C1" w:rsidRDefault="000071C1" w:rsidP="00F85F4C">
            <w:pPr>
              <w:spacing w:line="360" w:lineRule="exact"/>
              <w:ind w:leftChars="193" w:left="933" w:hangingChars="196" w:hanging="470"/>
              <w:jc w:val="both"/>
              <w:rPr>
                <w:rFonts w:ascii="標楷體" w:eastAsia="標楷體" w:hAnsi="標楷體"/>
                <w:szCs w:val="24"/>
              </w:rPr>
            </w:pPr>
          </w:p>
          <w:p w:rsidR="000071C1" w:rsidRDefault="000071C1" w:rsidP="00F85F4C">
            <w:pPr>
              <w:spacing w:line="360" w:lineRule="exact"/>
              <w:ind w:leftChars="193" w:left="933" w:hangingChars="196" w:hanging="470"/>
              <w:jc w:val="both"/>
              <w:rPr>
                <w:rFonts w:ascii="標楷體" w:eastAsia="標楷體" w:hAnsi="標楷體"/>
                <w:szCs w:val="24"/>
              </w:rPr>
            </w:pPr>
          </w:p>
          <w:p w:rsidR="000071C1" w:rsidRDefault="000071C1" w:rsidP="00F85F4C">
            <w:pPr>
              <w:spacing w:line="360" w:lineRule="exact"/>
              <w:ind w:leftChars="193" w:left="933" w:hangingChars="196" w:hanging="470"/>
              <w:jc w:val="both"/>
              <w:rPr>
                <w:rFonts w:ascii="標楷體" w:eastAsia="標楷體" w:hAnsi="標楷體"/>
                <w:szCs w:val="24"/>
              </w:rPr>
            </w:pPr>
          </w:p>
          <w:p w:rsidR="000071C1" w:rsidRPr="00A3365F" w:rsidRDefault="000071C1" w:rsidP="00F85F4C">
            <w:pPr>
              <w:spacing w:line="360" w:lineRule="exact"/>
              <w:ind w:leftChars="193" w:left="933" w:hangingChars="196" w:hanging="470"/>
              <w:jc w:val="both"/>
              <w:rPr>
                <w:rFonts w:ascii="標楷體" w:eastAsia="標楷體" w:hAnsi="標楷體"/>
                <w:szCs w:val="24"/>
              </w:rPr>
            </w:pPr>
          </w:p>
          <w:p w:rsidR="00F13072" w:rsidRPr="00A3365F" w:rsidRDefault="00F13072" w:rsidP="00F85F4C">
            <w:pPr>
              <w:spacing w:line="360" w:lineRule="exact"/>
              <w:ind w:leftChars="193" w:left="933" w:hangingChars="196" w:hanging="470"/>
              <w:jc w:val="both"/>
              <w:rPr>
                <w:rFonts w:ascii="標楷體" w:eastAsia="標楷體" w:hAnsi="標楷體"/>
                <w:szCs w:val="24"/>
              </w:rPr>
            </w:pPr>
            <w:r w:rsidRPr="00A3365F">
              <w:rPr>
                <w:rFonts w:ascii="標楷體" w:eastAsia="標楷體" w:hAnsi="標楷體" w:hint="eastAsia"/>
                <w:szCs w:val="24"/>
              </w:rPr>
              <w:t>(</w:t>
            </w:r>
            <w:r w:rsidR="000071C1" w:rsidRPr="000071C1">
              <w:rPr>
                <w:rFonts w:ascii="標楷體" w:eastAsia="標楷體" w:hAnsi="標楷體" w:hint="eastAsia"/>
                <w:color w:val="FF0000"/>
                <w:szCs w:val="24"/>
                <w:u w:val="single"/>
                <w:lang w:eastAsia="zh-HK"/>
              </w:rPr>
              <w:t>三</w:t>
            </w:r>
            <w:r w:rsidRPr="00A3365F">
              <w:rPr>
                <w:rFonts w:ascii="標楷體" w:eastAsia="標楷體" w:hAnsi="標楷體" w:hint="eastAsia"/>
                <w:szCs w:val="24"/>
              </w:rPr>
              <w:t>)提供最近一年下列固定收入之證明，且合計應達新台幣60萬元以上︰</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EE3EBB">
              <w:rPr>
                <w:rFonts w:ascii="標楷體" w:eastAsia="標楷體" w:hAnsi="標楷體"/>
                <w:szCs w:val="24"/>
              </w:rPr>
              <w:t xml:space="preserve"> </w:t>
            </w:r>
            <w:r w:rsidRPr="00A3365F">
              <w:rPr>
                <w:rFonts w:ascii="標楷體" w:eastAsia="標楷體" w:hAnsi="標楷體" w:hint="eastAsia"/>
                <w:szCs w:val="24"/>
              </w:rPr>
              <w:t>1.營利所得。(例如：公司股東所獲分配之現金股利或股票股利、合作社社員</w:t>
            </w:r>
            <w:r w:rsidRPr="00A3365F">
              <w:rPr>
                <w:rFonts w:ascii="標楷體" w:eastAsia="標楷體" w:hAnsi="標楷體" w:hint="eastAsia"/>
                <w:szCs w:val="24"/>
              </w:rPr>
              <w:lastRenderedPageBreak/>
              <w:t xml:space="preserve">所獲分配之盈餘、獨資資本主每年自其獨資經營事業所得之盈餘…等) </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EE3EBB">
              <w:rPr>
                <w:rFonts w:ascii="標楷體" w:eastAsia="標楷體" w:hAnsi="標楷體"/>
                <w:szCs w:val="24"/>
              </w:rPr>
              <w:t xml:space="preserve"> </w:t>
            </w:r>
            <w:r w:rsidRPr="00A3365F">
              <w:rPr>
                <w:rFonts w:ascii="標楷體" w:eastAsia="標楷體" w:hAnsi="標楷體" w:hint="eastAsia"/>
                <w:szCs w:val="24"/>
              </w:rPr>
              <w:t xml:space="preserve">2.執行業務所得。(例如：律師、會計師、建築師、技師、醫師、藥師、助產士、著作人、經紀人、代書人、工匠、表演人及其他以技藝自力營生者) </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EE3EBB">
              <w:rPr>
                <w:rFonts w:ascii="標楷體" w:eastAsia="標楷體" w:hAnsi="標楷體"/>
                <w:szCs w:val="24"/>
              </w:rPr>
              <w:t xml:space="preserve"> </w:t>
            </w:r>
            <w:r w:rsidRPr="00A3365F">
              <w:rPr>
                <w:rFonts w:ascii="標楷體" w:eastAsia="標楷體" w:hAnsi="標楷體" w:hint="eastAsia"/>
                <w:szCs w:val="24"/>
              </w:rPr>
              <w:t>3.薪資所得。(例如：公、教、軍、警、公私事業職工薪資及提供勞務者之所得)</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EE3EBB">
              <w:rPr>
                <w:rFonts w:ascii="標楷體" w:eastAsia="標楷體" w:hAnsi="標楷體"/>
                <w:szCs w:val="24"/>
              </w:rPr>
              <w:t xml:space="preserve"> </w:t>
            </w:r>
            <w:r w:rsidRPr="00A3365F">
              <w:rPr>
                <w:rFonts w:ascii="標楷體" w:eastAsia="標楷體" w:hAnsi="標楷體" w:hint="eastAsia"/>
                <w:szCs w:val="24"/>
              </w:rPr>
              <w:t>4.權利金。(例如︰商標、專利、著作權等供他人使用之權利金所得)</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EE3EBB">
              <w:rPr>
                <w:rFonts w:ascii="標楷體" w:eastAsia="標楷體" w:hAnsi="標楷體"/>
                <w:szCs w:val="24"/>
              </w:rPr>
              <w:t xml:space="preserve"> </w:t>
            </w:r>
            <w:r w:rsidRPr="00A3365F">
              <w:rPr>
                <w:rFonts w:ascii="標楷體" w:eastAsia="標楷體" w:hAnsi="標楷體" w:hint="eastAsia"/>
                <w:szCs w:val="24"/>
              </w:rPr>
              <w:t>5.利息。(例如：公債、公司債、金融債券、短期票券或銀行存款之利息)</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EE3EBB">
              <w:rPr>
                <w:rFonts w:ascii="標楷體" w:eastAsia="標楷體" w:hAnsi="標楷體"/>
                <w:szCs w:val="24"/>
              </w:rPr>
              <w:t xml:space="preserve"> </w:t>
            </w:r>
            <w:r w:rsidRPr="00A3365F">
              <w:rPr>
                <w:rFonts w:ascii="標楷體" w:eastAsia="標楷體" w:hAnsi="標楷體" w:hint="eastAsia"/>
                <w:szCs w:val="24"/>
              </w:rPr>
              <w:t>6.租金。(例如：房屋、土地之租賃所得)</w:t>
            </w:r>
          </w:p>
          <w:p w:rsidR="00F13072"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EE3EBB">
              <w:rPr>
                <w:rFonts w:ascii="標楷體" w:eastAsia="標楷體" w:hAnsi="標楷體"/>
                <w:szCs w:val="24"/>
              </w:rPr>
              <w:t xml:space="preserve"> </w:t>
            </w:r>
            <w:r w:rsidRPr="00A3365F">
              <w:rPr>
                <w:rFonts w:ascii="標楷體" w:eastAsia="標楷體" w:hAnsi="標楷體" w:hint="eastAsia"/>
                <w:szCs w:val="24"/>
              </w:rPr>
              <w:t>7.自力耕作、漁、牧、林、礦之所得。</w:t>
            </w:r>
          </w:p>
          <w:p w:rsidR="000071C1" w:rsidRDefault="000071C1" w:rsidP="00F85F4C">
            <w:pPr>
              <w:spacing w:line="360" w:lineRule="exact"/>
              <w:ind w:leftChars="131" w:left="799" w:hangingChars="202" w:hanging="485"/>
              <w:jc w:val="both"/>
              <w:rPr>
                <w:rFonts w:ascii="標楷體" w:eastAsia="標楷體" w:hAnsi="標楷體"/>
                <w:szCs w:val="24"/>
              </w:rPr>
            </w:pPr>
            <w:r w:rsidRPr="00A3365F">
              <w:rPr>
                <w:rFonts w:ascii="標楷體" w:eastAsia="標楷體" w:hAnsi="標楷體" w:hint="eastAsia"/>
                <w:szCs w:val="24"/>
              </w:rPr>
              <w:t>(</w:t>
            </w:r>
            <w:r w:rsidRPr="000071C1">
              <w:rPr>
                <w:rFonts w:ascii="標楷體" w:eastAsia="標楷體" w:hAnsi="標楷體" w:hint="eastAsia"/>
                <w:color w:val="FF0000"/>
                <w:szCs w:val="24"/>
                <w:u w:val="single"/>
              </w:rPr>
              <w:t>四</w:t>
            </w:r>
            <w:r w:rsidRPr="00A3365F">
              <w:rPr>
                <w:rFonts w:ascii="標楷體" w:eastAsia="標楷體" w:hAnsi="標楷體" w:hint="eastAsia"/>
                <w:szCs w:val="24"/>
              </w:rPr>
              <w:t>)提供財力證明經徵信人員評估後之總價值數額達新台幣5000萬元以上者，得免提供第(</w:t>
            </w:r>
            <w:r>
              <w:rPr>
                <w:rFonts w:ascii="標楷體" w:eastAsia="標楷體" w:hAnsi="標楷體" w:hint="eastAsia"/>
                <w:color w:val="FF0000"/>
                <w:szCs w:val="24"/>
                <w:u w:val="single"/>
                <w:lang w:eastAsia="zh-HK"/>
              </w:rPr>
              <w:t>三</w:t>
            </w:r>
            <w:r w:rsidRPr="00A3365F">
              <w:rPr>
                <w:rFonts w:ascii="標楷體" w:eastAsia="標楷體" w:hAnsi="標楷體" w:hint="eastAsia"/>
                <w:szCs w:val="24"/>
              </w:rPr>
              <w:t>)目之固定收入之證明。</w:t>
            </w:r>
          </w:p>
          <w:p w:rsidR="000071C1" w:rsidRPr="00A3365F" w:rsidRDefault="000071C1" w:rsidP="00F85F4C">
            <w:pPr>
              <w:spacing w:line="360" w:lineRule="exact"/>
              <w:ind w:leftChars="131" w:left="799" w:hangingChars="202" w:hanging="485"/>
              <w:jc w:val="both"/>
              <w:rPr>
                <w:rFonts w:ascii="標楷體" w:eastAsia="標楷體" w:hAnsi="標楷體"/>
                <w:szCs w:val="24"/>
              </w:rPr>
            </w:pPr>
          </w:p>
          <w:p w:rsidR="000071C1" w:rsidRDefault="000071C1"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w:t>
            </w:r>
            <w:r w:rsidR="00A66B7E">
              <w:rPr>
                <w:rFonts w:ascii="標楷體" w:eastAsia="標楷體" w:hAnsi="標楷體" w:hint="eastAsia"/>
                <w:color w:val="FF0000"/>
                <w:szCs w:val="24"/>
                <w:u w:val="single"/>
                <w:lang w:eastAsia="zh-HK"/>
              </w:rPr>
              <w:t>五</w:t>
            </w:r>
            <w:r w:rsidRPr="00A3365F">
              <w:rPr>
                <w:rFonts w:ascii="標楷體" w:eastAsia="標楷體" w:hAnsi="標楷體" w:hint="eastAsia"/>
                <w:szCs w:val="24"/>
              </w:rPr>
              <w:t>)70歲以上之交易人未符合(</w:t>
            </w:r>
            <w:r>
              <w:rPr>
                <w:rFonts w:ascii="標楷體" w:eastAsia="標楷體" w:hAnsi="標楷體" w:hint="eastAsia"/>
                <w:color w:val="FF0000"/>
                <w:szCs w:val="24"/>
                <w:u w:val="single"/>
                <w:lang w:eastAsia="zh-HK"/>
              </w:rPr>
              <w:t>三</w:t>
            </w:r>
            <w:r w:rsidRPr="00A3365F">
              <w:rPr>
                <w:rFonts w:ascii="標楷體" w:eastAsia="標楷體" w:hAnsi="標楷體" w:hint="eastAsia"/>
                <w:szCs w:val="24"/>
              </w:rPr>
              <w:t>)或(</w:t>
            </w:r>
            <w:r>
              <w:rPr>
                <w:rFonts w:ascii="標楷體" w:eastAsia="標楷體" w:hAnsi="標楷體" w:hint="eastAsia"/>
                <w:color w:val="FF0000"/>
                <w:szCs w:val="24"/>
                <w:u w:val="single"/>
                <w:lang w:eastAsia="zh-HK"/>
              </w:rPr>
              <w:t>四</w:t>
            </w:r>
            <w:r w:rsidRPr="00A3365F">
              <w:rPr>
                <w:rFonts w:ascii="標楷體" w:eastAsia="標楷體" w:hAnsi="標楷體" w:hint="eastAsia"/>
                <w:szCs w:val="24"/>
              </w:rPr>
              <w:t>)之條件者，期貨商僅得接受新增選擇權買方之委託。</w:t>
            </w:r>
          </w:p>
          <w:p w:rsidR="00F13072" w:rsidRPr="00A3365F" w:rsidRDefault="00F13072" w:rsidP="00F85F4C">
            <w:pPr>
              <w:spacing w:line="360" w:lineRule="exact"/>
              <w:ind w:left="391" w:hangingChars="163" w:hanging="391"/>
              <w:jc w:val="both"/>
              <w:rPr>
                <w:rFonts w:ascii="標楷體" w:eastAsia="標楷體" w:hAnsi="標楷體"/>
                <w:szCs w:val="24"/>
              </w:rPr>
            </w:pPr>
            <w:r w:rsidRPr="00310069">
              <w:rPr>
                <w:rFonts w:ascii="標楷體" w:eastAsia="標楷體" w:hAnsi="標楷體" w:hint="eastAsia"/>
                <w:color w:val="FF0000"/>
                <w:szCs w:val="24"/>
                <w:u w:val="single"/>
              </w:rPr>
              <w:t>九</w:t>
            </w:r>
            <w:r w:rsidRPr="00A3365F">
              <w:rPr>
                <w:rFonts w:ascii="標楷體" w:eastAsia="標楷體" w:hAnsi="標楷體" w:hint="eastAsia"/>
                <w:szCs w:val="24"/>
              </w:rPr>
              <w:t>、</w:t>
            </w:r>
            <w:r w:rsidR="00310069" w:rsidRPr="00310069">
              <w:rPr>
                <w:rFonts w:ascii="標楷體" w:eastAsia="標楷體" w:hAnsi="標楷體" w:hint="eastAsia"/>
                <w:szCs w:val="24"/>
              </w:rPr>
              <w:t>期貨商應每年重新評估</w:t>
            </w:r>
            <w:r w:rsidR="00310069" w:rsidRPr="00310069">
              <w:rPr>
                <w:rFonts w:ascii="標楷體" w:eastAsia="標楷體" w:hAnsi="標楷體" w:hint="eastAsia"/>
                <w:color w:val="FF0000"/>
                <w:szCs w:val="24"/>
                <w:u w:val="single"/>
                <w:lang w:eastAsia="zh-HK"/>
              </w:rPr>
              <w:t>最近一年有交易之</w:t>
            </w:r>
            <w:r w:rsidR="00310069" w:rsidRPr="00310069">
              <w:rPr>
                <w:rFonts w:ascii="標楷體" w:eastAsia="標楷體" w:hAnsi="標楷體" w:hint="eastAsia"/>
                <w:szCs w:val="24"/>
              </w:rPr>
              <w:t>70歲以上交易人提供之最近一年固定收入證明或資產證明，重新評估後固定收入合計金額未達新台幣60萬元或資產證明未達新台幣5000萬元者，僅得接受平倉委託及新增選擇權買方之委託。</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lang w:eastAsia="zh-HK"/>
              </w:rPr>
              <w:t>十</w:t>
            </w:r>
            <w:r w:rsidRPr="00A3365F">
              <w:rPr>
                <w:rFonts w:ascii="標楷體" w:eastAsia="標楷體" w:hAnsi="標楷體" w:hint="eastAsia"/>
                <w:szCs w:val="24"/>
              </w:rPr>
              <w:t>、期貨商應於70歲以上之交易人之買賣報告書及對帳單揭示交易相關風險警語。（風險警語內容詳如附件</w:t>
            </w:r>
            <w:r w:rsidRPr="00A3365F">
              <w:rPr>
                <w:rFonts w:ascii="標楷體" w:eastAsia="標楷體" w:hAnsi="標楷體" w:hint="eastAsia"/>
                <w:color w:val="FF0000"/>
                <w:szCs w:val="24"/>
                <w:u w:val="single"/>
                <w:lang w:eastAsia="zh-HK"/>
              </w:rPr>
              <w:t>四</w:t>
            </w:r>
            <w:r w:rsidRPr="00A3365F">
              <w:rPr>
                <w:rFonts w:ascii="標楷體" w:eastAsia="標楷體" w:hAnsi="標楷體" w:hint="eastAsia"/>
                <w:szCs w:val="24"/>
              </w:rPr>
              <w:t>）</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lang w:eastAsia="zh-HK"/>
              </w:rPr>
              <w:t>十一</w:t>
            </w:r>
            <w:r w:rsidRPr="00A3365F">
              <w:rPr>
                <w:rFonts w:ascii="標楷體" w:eastAsia="標楷體" w:hAnsi="標楷體" w:hint="eastAsia"/>
                <w:szCs w:val="24"/>
              </w:rPr>
              <w:t>、委託人為視障者，其開戶應依本公會會員金融友善服務準則規定辦理。</w:t>
            </w:r>
          </w:p>
          <w:p w:rsidR="00F13072" w:rsidRPr="00A3365F" w:rsidRDefault="00F13072" w:rsidP="00F85F4C">
            <w:pPr>
              <w:spacing w:line="360" w:lineRule="exact"/>
              <w:ind w:left="391" w:hangingChars="163" w:hanging="391"/>
              <w:jc w:val="both"/>
              <w:rPr>
                <w:rFonts w:ascii="標楷體" w:eastAsia="標楷體" w:hAnsi="標楷體"/>
                <w:szCs w:val="24"/>
              </w:rPr>
            </w:pPr>
          </w:p>
        </w:tc>
        <w:tc>
          <w:tcPr>
            <w:tcW w:w="1666" w:type="pct"/>
          </w:tcPr>
          <w:p w:rsidR="00F13072" w:rsidRPr="00A3365F" w:rsidRDefault="00F13072" w:rsidP="00F85F4C">
            <w:pPr>
              <w:spacing w:line="360" w:lineRule="exact"/>
              <w:ind w:left="1080" w:hangingChars="450" w:hanging="1080"/>
              <w:jc w:val="both"/>
              <w:rPr>
                <w:rFonts w:ascii="標楷體" w:eastAsia="標楷體" w:hAnsi="標楷體"/>
                <w:szCs w:val="24"/>
              </w:rPr>
            </w:pPr>
            <w:r w:rsidRPr="00A3365F">
              <w:rPr>
                <w:rFonts w:ascii="標楷體" w:eastAsia="標楷體" w:hAnsi="標楷體" w:hint="eastAsia"/>
                <w:szCs w:val="24"/>
              </w:rPr>
              <w:lastRenderedPageBreak/>
              <w:t xml:space="preserve">第 五 條 </w:t>
            </w:r>
          </w:p>
          <w:p w:rsidR="00F13072" w:rsidRPr="00A3365F" w:rsidRDefault="00F13072" w:rsidP="00F85F4C">
            <w:pPr>
              <w:spacing w:line="360" w:lineRule="exact"/>
              <w:ind w:firstLineChars="200" w:firstLine="480"/>
              <w:jc w:val="both"/>
              <w:rPr>
                <w:rFonts w:ascii="標楷體" w:eastAsia="標楷體" w:hAnsi="標楷體"/>
                <w:szCs w:val="24"/>
              </w:rPr>
            </w:pPr>
            <w:r w:rsidRPr="00A3365F">
              <w:rPr>
                <w:rFonts w:ascii="標楷體" w:eastAsia="標楷體" w:hAnsi="標楷體" w:hint="eastAsia"/>
                <w:szCs w:val="24"/>
              </w:rPr>
              <w:t>本公會會員受託從事期貨交易，應先對交易人辦理徵信，</w:t>
            </w:r>
            <w:r w:rsidRPr="00A3365F">
              <w:rPr>
                <w:rFonts w:ascii="標楷體" w:eastAsia="標楷體" w:hAnsi="標楷體" w:hint="eastAsia"/>
                <w:color w:val="FF0000"/>
                <w:szCs w:val="24"/>
                <w:u w:val="single"/>
              </w:rPr>
              <w:t>並</w:t>
            </w:r>
            <w:r w:rsidRPr="00A3365F">
              <w:rPr>
                <w:rFonts w:ascii="標楷體" w:eastAsia="標楷體" w:hAnsi="標楷體" w:hint="eastAsia"/>
                <w:szCs w:val="24"/>
              </w:rPr>
              <w:t>依下列規定辦理：</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szCs w:val="24"/>
              </w:rPr>
              <w:t>一、交易人申請開戶時，應請其詳實填具「開戶申請書暨信用調查表」（附件</w:t>
            </w:r>
            <w:r w:rsidRPr="00A3365F">
              <w:rPr>
                <w:rFonts w:ascii="標楷體" w:eastAsia="標楷體" w:hAnsi="標楷體" w:hint="eastAsia"/>
                <w:color w:val="FF0000"/>
                <w:szCs w:val="24"/>
                <w:u w:val="single"/>
              </w:rPr>
              <w:t>一</w:t>
            </w:r>
            <w:r w:rsidRPr="00A3365F">
              <w:rPr>
                <w:rFonts w:ascii="標楷體" w:eastAsia="標楷體" w:hAnsi="標楷體" w:hint="eastAsia"/>
                <w:szCs w:val="24"/>
              </w:rPr>
              <w:t>），並應依「徵信及審核表」對交易人進行評估，連同其他開戶文件備查。已開戶交易人之徵信資料變更時，應重新辦理徵信。</w:t>
            </w:r>
          </w:p>
          <w:p w:rsidR="00F13072" w:rsidRPr="00A3365F" w:rsidRDefault="00F13072" w:rsidP="00F85F4C">
            <w:pPr>
              <w:spacing w:line="360" w:lineRule="exact"/>
              <w:ind w:left="391" w:hangingChars="163" w:hanging="391"/>
              <w:jc w:val="both"/>
              <w:rPr>
                <w:rFonts w:ascii="標楷體" w:eastAsia="標楷體" w:hAnsi="標楷體"/>
                <w:color w:val="FF0000"/>
                <w:szCs w:val="24"/>
                <w:u w:val="single"/>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A554E6" w:rsidP="00F85F4C">
            <w:pPr>
              <w:tabs>
                <w:tab w:val="left" w:pos="1003"/>
                <w:tab w:val="left" w:pos="1737"/>
              </w:tabs>
              <w:spacing w:line="360" w:lineRule="exact"/>
              <w:ind w:left="391" w:hangingChars="163" w:hanging="391"/>
              <w:rPr>
                <w:rFonts w:ascii="標楷體" w:eastAsia="標楷體" w:hAnsi="標楷體"/>
                <w:szCs w:val="24"/>
              </w:rPr>
            </w:pP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844808" w:rsidRPr="00A3365F" w:rsidRDefault="00844808"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B037B4" w:rsidRPr="00A3365F" w:rsidRDefault="00B037B4" w:rsidP="00F85F4C">
            <w:pPr>
              <w:spacing w:line="360" w:lineRule="exact"/>
              <w:ind w:left="391" w:hangingChars="163" w:hanging="391"/>
              <w:jc w:val="both"/>
              <w:rPr>
                <w:rFonts w:ascii="標楷體" w:eastAsia="標楷體" w:hAnsi="標楷體"/>
                <w:szCs w:val="24"/>
              </w:rPr>
            </w:pPr>
          </w:p>
          <w:p w:rsidR="00844808" w:rsidRDefault="00844808" w:rsidP="00F85F4C">
            <w:pPr>
              <w:spacing w:line="360" w:lineRule="exact"/>
              <w:ind w:left="391" w:hangingChars="163" w:hanging="391"/>
              <w:jc w:val="both"/>
              <w:rPr>
                <w:rFonts w:ascii="標楷體" w:eastAsia="標楷體" w:hAnsi="標楷體"/>
                <w:szCs w:val="24"/>
              </w:rPr>
            </w:pPr>
          </w:p>
          <w:p w:rsidR="003173FA" w:rsidRPr="003173FA" w:rsidRDefault="003173FA" w:rsidP="00F85F4C">
            <w:pPr>
              <w:spacing w:line="360" w:lineRule="exact"/>
              <w:ind w:left="391" w:hangingChars="163" w:hanging="391"/>
              <w:jc w:val="both"/>
              <w:rPr>
                <w:rFonts w:ascii="標楷體" w:eastAsia="標楷體" w:hAnsi="標楷體"/>
                <w:szCs w:val="24"/>
              </w:rPr>
            </w:pP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rPr>
              <w:t>二</w:t>
            </w:r>
            <w:r w:rsidRPr="00A3365F">
              <w:rPr>
                <w:rFonts w:ascii="標楷體" w:eastAsia="標楷體" w:hAnsi="標楷體" w:hint="eastAsia"/>
                <w:szCs w:val="24"/>
              </w:rPr>
              <w:t>、應每日查詢已開戶交易人及其受任人之證券或期貨違約情形。</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rPr>
              <w:t>三</w:t>
            </w:r>
            <w:r w:rsidRPr="00A3365F">
              <w:rPr>
                <w:rFonts w:ascii="標楷體" w:eastAsia="標楷體" w:hAnsi="標楷體" w:hint="eastAsia"/>
                <w:szCs w:val="24"/>
              </w:rPr>
              <w:t>、應就同一交易人於總、分支機構之資產、財力與信用狀況辦理綜合評估。</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rPr>
              <w:t>四</w:t>
            </w:r>
            <w:r w:rsidRPr="00A3365F">
              <w:rPr>
                <w:rFonts w:ascii="標楷體" w:eastAsia="標楷體" w:hAnsi="標楷體" w:hint="eastAsia"/>
                <w:szCs w:val="24"/>
              </w:rPr>
              <w:t>、除其他相關法令另有規定者外，交易人應本人辦理開戶。</w:t>
            </w:r>
          </w:p>
          <w:p w:rsidR="00F13072" w:rsidRPr="00A3365F" w:rsidRDefault="00F13072" w:rsidP="00F85F4C">
            <w:pPr>
              <w:spacing w:line="360" w:lineRule="exact"/>
              <w:ind w:left="391" w:hangingChars="163" w:hanging="391"/>
              <w:jc w:val="both"/>
              <w:rPr>
                <w:rFonts w:ascii="標楷體" w:eastAsia="標楷體" w:hAnsi="標楷體"/>
                <w:szCs w:val="24"/>
              </w:rPr>
            </w:pPr>
            <w:r w:rsidRPr="00A3365F">
              <w:rPr>
                <w:rFonts w:ascii="標楷體" w:eastAsia="標楷體" w:hAnsi="標楷體" w:hint="eastAsia"/>
                <w:color w:val="FF0000"/>
                <w:szCs w:val="24"/>
                <w:u w:val="single"/>
              </w:rPr>
              <w:t>五</w:t>
            </w:r>
            <w:r w:rsidRPr="00A3365F">
              <w:rPr>
                <w:rFonts w:ascii="標楷體" w:eastAsia="標楷體" w:hAnsi="標楷體" w:hint="eastAsia"/>
                <w:szCs w:val="24"/>
              </w:rPr>
              <w:t>、交易人委任他人從事期貨交易，應符合下列規定：</w:t>
            </w:r>
          </w:p>
          <w:p w:rsidR="00F13072" w:rsidRPr="00A3365F" w:rsidRDefault="00F13072" w:rsidP="00F85F4C">
            <w:pPr>
              <w:spacing w:line="360" w:lineRule="exact"/>
              <w:ind w:leftChars="193" w:left="933" w:hangingChars="196" w:hanging="470"/>
              <w:jc w:val="both"/>
              <w:rPr>
                <w:rFonts w:ascii="標楷體" w:eastAsia="標楷體" w:hAnsi="標楷體"/>
                <w:szCs w:val="24"/>
              </w:rPr>
            </w:pPr>
            <w:r w:rsidRPr="00A3365F">
              <w:rPr>
                <w:rFonts w:ascii="標楷體" w:eastAsia="標楷體" w:hAnsi="標楷體" w:hint="eastAsia"/>
                <w:szCs w:val="24"/>
              </w:rPr>
              <w:t>(一)</w:t>
            </w:r>
            <w:r w:rsidRPr="00A3365F">
              <w:rPr>
                <w:rFonts w:ascii="標楷體" w:eastAsia="標楷體" w:hAnsi="標楷體"/>
                <w:szCs w:val="24"/>
              </w:rPr>
              <w:t>曾因違背期貨交易契約或證券交易契</w:t>
            </w:r>
            <w:r w:rsidRPr="00A3365F">
              <w:rPr>
                <w:rFonts w:ascii="標楷體" w:eastAsia="標楷體" w:hAnsi="標楷體"/>
                <w:szCs w:val="24"/>
              </w:rPr>
              <w:lastRenderedPageBreak/>
              <w:t>約未結案且未滿五年</w:t>
            </w:r>
            <w:r w:rsidRPr="00A3365F">
              <w:rPr>
                <w:rFonts w:ascii="標楷體" w:eastAsia="標楷體" w:hAnsi="標楷體" w:hint="eastAsia"/>
                <w:szCs w:val="24"/>
              </w:rPr>
              <w:t>者不得為受任人。</w:t>
            </w:r>
          </w:p>
          <w:p w:rsidR="00F13072" w:rsidRPr="00A3365F" w:rsidRDefault="00F13072" w:rsidP="00F85F4C">
            <w:pPr>
              <w:spacing w:line="360" w:lineRule="exact"/>
              <w:ind w:leftChars="193" w:left="933" w:hangingChars="196" w:hanging="470"/>
              <w:jc w:val="both"/>
              <w:rPr>
                <w:rFonts w:ascii="標楷體" w:eastAsia="標楷體" w:hAnsi="標楷體"/>
                <w:szCs w:val="24"/>
              </w:rPr>
            </w:pPr>
            <w:r w:rsidRPr="00A3365F">
              <w:rPr>
                <w:rFonts w:ascii="標楷體" w:eastAsia="標楷體" w:hAnsi="標楷體" w:hint="eastAsia"/>
                <w:szCs w:val="24"/>
              </w:rPr>
              <w:t>(二)期貨商、期貨交易輔助人之負責人與受雇人本人及其配偶不得為受任人。</w:t>
            </w:r>
          </w:p>
          <w:p w:rsidR="00F13072" w:rsidRPr="00A3365F" w:rsidRDefault="00F13072" w:rsidP="00F85F4C">
            <w:pPr>
              <w:spacing w:line="360" w:lineRule="exact"/>
              <w:ind w:leftChars="193" w:left="933" w:hangingChars="196" w:hanging="470"/>
              <w:jc w:val="both"/>
              <w:rPr>
                <w:rFonts w:ascii="標楷體" w:eastAsia="標楷體" w:hAnsi="標楷體"/>
                <w:szCs w:val="24"/>
              </w:rPr>
            </w:pPr>
            <w:r w:rsidRPr="00A3365F">
              <w:rPr>
                <w:rFonts w:ascii="標楷體" w:eastAsia="標楷體" w:hAnsi="標楷體" w:hint="eastAsia"/>
                <w:szCs w:val="24"/>
              </w:rPr>
              <w:t>(三)為避免受任人從事代客操作，應訂定交易人可委託之受任人及受任人可代理之人數之控管機制。</w:t>
            </w:r>
          </w:p>
          <w:p w:rsidR="00F13072" w:rsidRPr="00A3365F" w:rsidRDefault="00F13072" w:rsidP="00F85F4C">
            <w:pPr>
              <w:spacing w:line="360" w:lineRule="exact"/>
              <w:ind w:leftChars="193" w:left="933" w:hangingChars="196" w:hanging="470"/>
              <w:jc w:val="both"/>
              <w:rPr>
                <w:rFonts w:ascii="標楷體" w:eastAsia="標楷體" w:hAnsi="標楷體"/>
                <w:szCs w:val="24"/>
              </w:rPr>
            </w:pPr>
            <w:r w:rsidRPr="00A3365F">
              <w:rPr>
                <w:rFonts w:ascii="標楷體" w:eastAsia="標楷體" w:hAnsi="標楷體" w:hint="eastAsia"/>
                <w:szCs w:val="24"/>
              </w:rPr>
              <w:t>(四)受任人為自然人者，年齡應滿20歲且具備行為能力，並應居住於中華民國境內；為外國人者，除為境外外國投資機構之受任人外，以領有華僑身分證明書或外僑居留證者為限。</w:t>
            </w:r>
          </w:p>
          <w:p w:rsidR="00F13072" w:rsidRPr="00A3365F" w:rsidRDefault="00F13072" w:rsidP="00F85F4C">
            <w:pPr>
              <w:spacing w:line="360" w:lineRule="exact"/>
              <w:ind w:leftChars="193" w:left="933" w:hangingChars="196" w:hanging="470"/>
              <w:jc w:val="both"/>
              <w:rPr>
                <w:rFonts w:ascii="標楷體" w:eastAsia="標楷體" w:hAnsi="標楷體"/>
                <w:szCs w:val="24"/>
              </w:rPr>
            </w:pPr>
            <w:r w:rsidRPr="00A3365F">
              <w:rPr>
                <w:rFonts w:ascii="標楷體" w:eastAsia="標楷體" w:hAnsi="標楷體" w:hint="eastAsia"/>
                <w:szCs w:val="24"/>
              </w:rPr>
              <w:t>(五)應於授權書中載明受任人得從事國內或國外期貨交易。</w:t>
            </w:r>
          </w:p>
          <w:p w:rsidR="00F13072" w:rsidRPr="00A3365F" w:rsidRDefault="00F13072" w:rsidP="00F85F4C">
            <w:pPr>
              <w:spacing w:line="360" w:lineRule="exact"/>
              <w:ind w:leftChars="193" w:left="933" w:hangingChars="196" w:hanging="470"/>
              <w:jc w:val="both"/>
              <w:rPr>
                <w:rFonts w:ascii="標楷體" w:eastAsia="標楷體" w:hAnsi="標楷體"/>
                <w:szCs w:val="24"/>
              </w:rPr>
            </w:pPr>
            <w:r w:rsidRPr="00A3365F">
              <w:rPr>
                <w:rFonts w:ascii="標楷體" w:eastAsia="標楷體" w:hAnsi="標楷體" w:hint="eastAsia"/>
                <w:szCs w:val="24"/>
              </w:rPr>
              <w:t>(六)授權書應以適當字體及顏色加註：「受任人代理委任人從事期貨交易事宜，不得對委任人之委託交易資金，就有關期貨交易為分析、判斷，並基於該分析判斷，為委託人執行期貨交易之業務或有未經核准接受全權委託代為決定種</w:t>
            </w:r>
            <w:r w:rsidRPr="00A3365F">
              <w:rPr>
                <w:rFonts w:ascii="標楷體" w:eastAsia="標楷體" w:hAnsi="標楷體" w:hint="eastAsia"/>
                <w:szCs w:val="24"/>
              </w:rPr>
              <w:lastRenderedPageBreak/>
              <w:t>類、數量、價格之期貨交易行為。受任人若違反前述規定所為之代理行為，委任人需自行負擔全責。」</w:t>
            </w:r>
          </w:p>
          <w:p w:rsidR="00F13072" w:rsidRPr="00A3365F" w:rsidRDefault="00F13072" w:rsidP="00F85F4C">
            <w:pPr>
              <w:spacing w:line="360" w:lineRule="exact"/>
              <w:ind w:leftChars="65" w:left="401" w:hangingChars="102" w:hanging="245"/>
              <w:jc w:val="both"/>
              <w:rPr>
                <w:rFonts w:ascii="標楷體" w:eastAsia="標楷體" w:hAnsi="標楷體"/>
                <w:szCs w:val="24"/>
              </w:rPr>
            </w:pPr>
            <w:r w:rsidRPr="00A3365F">
              <w:rPr>
                <w:rFonts w:ascii="標楷體" w:eastAsia="標楷體" w:hAnsi="標楷體" w:hint="eastAsia"/>
                <w:color w:val="FF0000"/>
                <w:szCs w:val="24"/>
                <w:u w:val="single"/>
              </w:rPr>
              <w:t>六</w:t>
            </w:r>
            <w:r w:rsidRPr="00A3365F">
              <w:rPr>
                <w:rFonts w:ascii="標楷體" w:eastAsia="標楷體" w:hAnsi="標楷體" w:hint="eastAsia"/>
                <w:szCs w:val="24"/>
              </w:rPr>
              <w:t>、70歲以上之交易人有開戶需求者，應具備以下條件</w:t>
            </w:r>
            <w:bookmarkStart w:id="0" w:name="_GoBack"/>
            <w:r w:rsidRPr="00FE175E">
              <w:rPr>
                <w:rFonts w:ascii="標楷體" w:eastAsia="標楷體" w:hAnsi="標楷體" w:hint="eastAsia"/>
                <w:color w:val="FF0000"/>
                <w:szCs w:val="24"/>
                <w:u w:val="single"/>
              </w:rPr>
              <w:t>，始得接受其開戶</w:t>
            </w:r>
            <w:bookmarkEnd w:id="0"/>
            <w:r w:rsidRPr="00A3365F">
              <w:rPr>
                <w:rFonts w:ascii="標楷體" w:eastAsia="標楷體" w:hAnsi="標楷體" w:hint="eastAsia"/>
                <w:szCs w:val="24"/>
              </w:rPr>
              <w:t>：</w:t>
            </w:r>
          </w:p>
          <w:p w:rsidR="00F13072" w:rsidRPr="00A3365F" w:rsidRDefault="00F13072" w:rsidP="00F85F4C">
            <w:pPr>
              <w:spacing w:line="360" w:lineRule="exact"/>
              <w:ind w:leftChars="193" w:left="933" w:hangingChars="196" w:hanging="470"/>
              <w:jc w:val="both"/>
              <w:rPr>
                <w:rFonts w:ascii="標楷體" w:eastAsia="標楷體" w:hAnsi="標楷體"/>
                <w:szCs w:val="24"/>
              </w:rPr>
            </w:pPr>
            <w:r w:rsidRPr="00A3365F">
              <w:rPr>
                <w:rFonts w:ascii="標楷體" w:eastAsia="標楷體" w:hAnsi="標楷體" w:hint="eastAsia"/>
                <w:szCs w:val="24"/>
              </w:rPr>
              <w:t>(一)</w:t>
            </w:r>
            <w:r w:rsidRPr="00A3365F">
              <w:rPr>
                <w:rFonts w:ascii="標楷體" w:eastAsia="標楷體" w:hAnsi="標楷體" w:hint="eastAsia"/>
                <w:color w:val="FF0000"/>
                <w:szCs w:val="24"/>
                <w:u w:val="single"/>
              </w:rPr>
              <w:t>應</w:t>
            </w:r>
            <w:r w:rsidRPr="00A3365F">
              <w:rPr>
                <w:rFonts w:ascii="標楷體" w:eastAsia="標楷體" w:hAnsi="標楷體" w:hint="eastAsia"/>
                <w:szCs w:val="24"/>
              </w:rPr>
              <w:t>填具「70歲以上交易人開戶聲明書」(附件</w:t>
            </w:r>
            <w:r w:rsidRPr="00A3365F">
              <w:rPr>
                <w:rFonts w:ascii="標楷體" w:eastAsia="標楷體" w:hAnsi="標楷體" w:hint="eastAsia"/>
                <w:color w:val="FF0000"/>
                <w:szCs w:val="24"/>
                <w:u w:val="single"/>
              </w:rPr>
              <w:t>二</w:t>
            </w:r>
            <w:r w:rsidRPr="00A3365F">
              <w:rPr>
                <w:rFonts w:ascii="標楷體" w:eastAsia="標楷體" w:hAnsi="標楷體" w:hint="eastAsia"/>
                <w:szCs w:val="24"/>
              </w:rPr>
              <w:t>)，聲明書應以顯著方式標示從事選擇權賣方交易之警語。</w:t>
            </w:r>
          </w:p>
          <w:p w:rsidR="00F13072" w:rsidRPr="00A3365F" w:rsidRDefault="00F13072" w:rsidP="00F85F4C">
            <w:pPr>
              <w:spacing w:line="360" w:lineRule="exact"/>
              <w:ind w:leftChars="193" w:left="933" w:hangingChars="196" w:hanging="470"/>
              <w:jc w:val="both"/>
              <w:rPr>
                <w:rFonts w:ascii="標楷體" w:eastAsia="標楷體" w:hAnsi="標楷體"/>
                <w:szCs w:val="24"/>
              </w:rPr>
            </w:pPr>
            <w:r w:rsidRPr="00A3365F">
              <w:rPr>
                <w:rFonts w:ascii="標楷體" w:eastAsia="標楷體" w:hAnsi="標楷體" w:hint="eastAsia"/>
                <w:szCs w:val="24"/>
              </w:rPr>
              <w:t>(二)曾於期貨、證券市場交易滿10筆，或曾任職於證券、期貨、金融或保險機構，或有其他學經歷足資證明其具備期貨專業知識者。</w:t>
            </w:r>
          </w:p>
          <w:p w:rsidR="00F13072" w:rsidRPr="00EE3EBB" w:rsidRDefault="00F13072" w:rsidP="00F85F4C">
            <w:pPr>
              <w:spacing w:line="360" w:lineRule="exact"/>
              <w:ind w:leftChars="193" w:left="933" w:hangingChars="196" w:hanging="470"/>
              <w:jc w:val="both"/>
              <w:rPr>
                <w:rFonts w:ascii="標楷體" w:eastAsia="標楷體" w:hAnsi="標楷體"/>
                <w:color w:val="FF0000"/>
                <w:szCs w:val="24"/>
                <w:u w:val="single"/>
              </w:rPr>
            </w:pPr>
            <w:r w:rsidRPr="00EE3EBB">
              <w:rPr>
                <w:rFonts w:ascii="標楷體" w:eastAsia="標楷體" w:hAnsi="標楷體" w:hint="eastAsia"/>
                <w:color w:val="FF0000"/>
                <w:szCs w:val="24"/>
                <w:u w:val="single"/>
              </w:rPr>
              <w:t>(三)應提供期貨商要求之徵信資料及財力證明，財力證明經徵信人員評估後之總價值數額為新台幣250萬元以上。</w:t>
            </w:r>
          </w:p>
          <w:p w:rsidR="00F13072" w:rsidRPr="00A3365F" w:rsidRDefault="00F13072" w:rsidP="00F85F4C">
            <w:pPr>
              <w:spacing w:line="360" w:lineRule="exact"/>
              <w:ind w:leftChars="152" w:left="922" w:hangingChars="232" w:hanging="557"/>
              <w:jc w:val="both"/>
              <w:rPr>
                <w:rFonts w:ascii="標楷體" w:eastAsia="標楷體" w:hAnsi="標楷體"/>
                <w:szCs w:val="24"/>
              </w:rPr>
            </w:pPr>
            <w:r w:rsidRPr="00A3365F">
              <w:rPr>
                <w:rFonts w:ascii="標楷體" w:eastAsia="標楷體" w:hAnsi="標楷體" w:hint="eastAsia"/>
                <w:szCs w:val="24"/>
              </w:rPr>
              <w:t>(四)</w:t>
            </w:r>
            <w:r w:rsidRPr="00A3365F">
              <w:rPr>
                <w:rFonts w:ascii="標楷體" w:eastAsia="標楷體" w:hAnsi="標楷體" w:hint="eastAsia"/>
                <w:color w:val="FF0000"/>
                <w:szCs w:val="24"/>
                <w:u w:val="single"/>
              </w:rPr>
              <w:t>須</w:t>
            </w:r>
            <w:r w:rsidRPr="00A3365F">
              <w:rPr>
                <w:rFonts w:ascii="標楷體" w:eastAsia="標楷體" w:hAnsi="標楷體" w:hint="eastAsia"/>
                <w:szCs w:val="24"/>
              </w:rPr>
              <w:t>提供最近一年下列固定收入之證明，且合計應達新台幣60萬元以上︰</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167DC1" w:rsidRPr="00A3365F">
              <w:rPr>
                <w:rFonts w:ascii="標楷體" w:eastAsia="標楷體" w:hAnsi="標楷體"/>
                <w:szCs w:val="24"/>
              </w:rPr>
              <w:t xml:space="preserve"> </w:t>
            </w:r>
            <w:r w:rsidRPr="00A3365F">
              <w:rPr>
                <w:rFonts w:ascii="標楷體" w:eastAsia="標楷體" w:hAnsi="標楷體" w:hint="eastAsia"/>
                <w:szCs w:val="24"/>
              </w:rPr>
              <w:t>1.營利所得。(例如：公司股東所獲分配之現金股利或股票股利、合作社社員</w:t>
            </w:r>
            <w:r w:rsidRPr="00A3365F">
              <w:rPr>
                <w:rFonts w:ascii="標楷體" w:eastAsia="標楷體" w:hAnsi="標楷體" w:hint="eastAsia"/>
                <w:szCs w:val="24"/>
              </w:rPr>
              <w:lastRenderedPageBreak/>
              <w:t xml:space="preserve">所獲分配之盈餘、獨資資本主每年自其獨資經營事業所得之盈餘…等) </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8C3760" w:rsidRPr="00A3365F">
              <w:rPr>
                <w:rFonts w:ascii="標楷體" w:eastAsia="標楷體" w:hAnsi="標楷體"/>
                <w:szCs w:val="24"/>
              </w:rPr>
              <w:t xml:space="preserve"> </w:t>
            </w:r>
            <w:r w:rsidRPr="00A3365F">
              <w:rPr>
                <w:rFonts w:ascii="標楷體" w:eastAsia="標楷體" w:hAnsi="標楷體" w:hint="eastAsia"/>
                <w:szCs w:val="24"/>
              </w:rPr>
              <w:t xml:space="preserve"> 2.執行業務所得。(例如：律師、會計師、建築師、技師、醫師、藥師、助產士、著作人、經紀人、代書人、工匠、表演人及其他以技藝自力營生者) </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8C3760" w:rsidRPr="00A3365F">
              <w:rPr>
                <w:rFonts w:ascii="標楷體" w:eastAsia="標楷體" w:hAnsi="標楷體"/>
                <w:szCs w:val="24"/>
              </w:rPr>
              <w:t xml:space="preserve"> </w:t>
            </w:r>
            <w:r w:rsidRPr="00A3365F">
              <w:rPr>
                <w:rFonts w:ascii="標楷體" w:eastAsia="標楷體" w:hAnsi="標楷體" w:hint="eastAsia"/>
                <w:szCs w:val="24"/>
              </w:rPr>
              <w:t>3.薪資所得。(例如：公、教、軍、警、公私事業職工薪資及提供勞務者之所得)</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8C3760" w:rsidRPr="00A3365F">
              <w:rPr>
                <w:rFonts w:ascii="標楷體" w:eastAsia="標楷體" w:hAnsi="標楷體"/>
                <w:szCs w:val="24"/>
              </w:rPr>
              <w:t xml:space="preserve"> </w:t>
            </w:r>
            <w:r w:rsidRPr="00A3365F">
              <w:rPr>
                <w:rFonts w:ascii="標楷體" w:eastAsia="標楷體" w:hAnsi="標楷體" w:hint="eastAsia"/>
                <w:szCs w:val="24"/>
              </w:rPr>
              <w:t>4.權利金。(例如︰商標、專利、著作權等供他人使用之權利金所得)</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8C3760" w:rsidRPr="00A3365F">
              <w:rPr>
                <w:rFonts w:ascii="標楷體" w:eastAsia="標楷體" w:hAnsi="標楷體"/>
                <w:szCs w:val="24"/>
              </w:rPr>
              <w:t xml:space="preserve"> </w:t>
            </w:r>
            <w:r w:rsidRPr="00A3365F">
              <w:rPr>
                <w:rFonts w:ascii="標楷體" w:eastAsia="標楷體" w:hAnsi="標楷體" w:hint="eastAsia"/>
                <w:szCs w:val="24"/>
              </w:rPr>
              <w:t>5.利息。(例如：公債、公司債、金融債券、短期票券或銀行存款之利息)</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8C3760" w:rsidRPr="00A3365F">
              <w:rPr>
                <w:rFonts w:ascii="標楷體" w:eastAsia="標楷體" w:hAnsi="標楷體"/>
                <w:szCs w:val="24"/>
              </w:rPr>
              <w:t xml:space="preserve"> </w:t>
            </w:r>
            <w:r w:rsidRPr="00A3365F">
              <w:rPr>
                <w:rFonts w:ascii="標楷體" w:eastAsia="標楷體" w:hAnsi="標楷體" w:hint="eastAsia"/>
                <w:szCs w:val="24"/>
              </w:rPr>
              <w:t>6.租金。(例如：房屋、土地之租賃所得)</w:t>
            </w:r>
          </w:p>
          <w:p w:rsidR="00F13072" w:rsidRPr="00A3365F" w:rsidRDefault="00F13072" w:rsidP="00F85F4C">
            <w:pPr>
              <w:spacing w:line="360" w:lineRule="exact"/>
              <w:ind w:leftChars="133" w:left="924" w:hangingChars="252" w:hanging="605"/>
              <w:jc w:val="both"/>
              <w:rPr>
                <w:rFonts w:ascii="標楷體" w:eastAsia="標楷體" w:hAnsi="標楷體"/>
                <w:szCs w:val="24"/>
              </w:rPr>
            </w:pPr>
            <w:r w:rsidRPr="00A3365F">
              <w:rPr>
                <w:rFonts w:ascii="標楷體" w:eastAsia="標楷體" w:hAnsi="標楷體" w:hint="eastAsia"/>
                <w:szCs w:val="24"/>
              </w:rPr>
              <w:t xml:space="preserve">   </w:t>
            </w:r>
            <w:r w:rsidR="008C3760" w:rsidRPr="00A3365F">
              <w:rPr>
                <w:rFonts w:ascii="標楷體" w:eastAsia="標楷體" w:hAnsi="標楷體"/>
                <w:szCs w:val="24"/>
              </w:rPr>
              <w:t xml:space="preserve"> </w:t>
            </w:r>
            <w:r w:rsidRPr="00A3365F">
              <w:rPr>
                <w:rFonts w:ascii="標楷體" w:eastAsia="標楷體" w:hAnsi="標楷體" w:hint="eastAsia"/>
                <w:szCs w:val="24"/>
              </w:rPr>
              <w:t xml:space="preserve"> 7.自力耕作、漁、牧、林、礦之所得。</w:t>
            </w:r>
          </w:p>
          <w:p w:rsidR="004818CB" w:rsidRPr="00A3365F" w:rsidRDefault="004818CB" w:rsidP="00F85F4C">
            <w:pPr>
              <w:spacing w:line="360" w:lineRule="exact"/>
              <w:ind w:leftChars="131" w:left="799" w:hangingChars="202" w:hanging="485"/>
              <w:jc w:val="both"/>
              <w:rPr>
                <w:rFonts w:ascii="標楷體" w:eastAsia="標楷體" w:hAnsi="標楷體"/>
                <w:szCs w:val="24"/>
              </w:rPr>
            </w:pPr>
            <w:r w:rsidRPr="00A3365F">
              <w:rPr>
                <w:rFonts w:ascii="標楷體" w:eastAsia="標楷體" w:hAnsi="標楷體" w:hint="eastAsia"/>
                <w:szCs w:val="24"/>
              </w:rPr>
              <w:t>(</w:t>
            </w:r>
            <w:r w:rsidRPr="00A3365F">
              <w:rPr>
                <w:rFonts w:ascii="標楷體" w:eastAsia="標楷體" w:hAnsi="標楷體" w:hint="eastAsia"/>
                <w:color w:val="FF0000"/>
                <w:szCs w:val="24"/>
                <w:u w:val="single"/>
              </w:rPr>
              <w:t>五</w:t>
            </w:r>
            <w:r w:rsidRPr="00A3365F">
              <w:rPr>
                <w:rFonts w:ascii="標楷體" w:eastAsia="標楷體" w:hAnsi="標楷體" w:hint="eastAsia"/>
                <w:szCs w:val="24"/>
              </w:rPr>
              <w:t>)</w:t>
            </w:r>
            <w:r w:rsidRPr="00A3365F">
              <w:rPr>
                <w:rFonts w:ascii="標楷體" w:eastAsia="標楷體" w:hAnsi="標楷體" w:hint="eastAsia"/>
                <w:color w:val="FF0000"/>
                <w:szCs w:val="24"/>
                <w:u w:val="single"/>
              </w:rPr>
              <w:t>依第(三)目</w:t>
            </w:r>
            <w:r w:rsidRPr="00A3365F">
              <w:rPr>
                <w:rFonts w:ascii="標楷體" w:eastAsia="標楷體" w:hAnsi="標楷體" w:hint="eastAsia"/>
                <w:szCs w:val="24"/>
              </w:rPr>
              <w:t>提供</w:t>
            </w:r>
            <w:r w:rsidRPr="00A3365F">
              <w:rPr>
                <w:rFonts w:ascii="標楷體" w:eastAsia="標楷體" w:hAnsi="標楷體" w:hint="eastAsia"/>
                <w:color w:val="FF0000"/>
                <w:szCs w:val="24"/>
                <w:u w:val="single"/>
              </w:rPr>
              <w:t>之</w:t>
            </w:r>
            <w:r w:rsidRPr="00A3365F">
              <w:rPr>
                <w:rFonts w:ascii="標楷體" w:eastAsia="標楷體" w:hAnsi="標楷體" w:hint="eastAsia"/>
                <w:szCs w:val="24"/>
              </w:rPr>
              <w:t>財力證明</w:t>
            </w:r>
            <w:r w:rsidRPr="00A3365F">
              <w:rPr>
                <w:rFonts w:ascii="標楷體" w:eastAsia="標楷體" w:hAnsi="標楷體" w:hint="eastAsia"/>
                <w:color w:val="FF0000"/>
                <w:szCs w:val="24"/>
                <w:u w:val="single"/>
              </w:rPr>
              <w:t>，</w:t>
            </w:r>
            <w:r w:rsidRPr="00A3365F">
              <w:rPr>
                <w:rFonts w:ascii="標楷體" w:eastAsia="標楷體" w:hAnsi="標楷體" w:hint="eastAsia"/>
                <w:szCs w:val="24"/>
              </w:rPr>
              <w:t>經徵信人員評估後之總價值數額達新台幣5000萬元以上者，得免提供第(</w:t>
            </w:r>
            <w:r w:rsidRPr="00A3365F">
              <w:rPr>
                <w:rFonts w:ascii="標楷體" w:eastAsia="標楷體" w:hAnsi="標楷體" w:hint="eastAsia"/>
                <w:color w:val="FF0000"/>
                <w:szCs w:val="24"/>
                <w:u w:val="single"/>
              </w:rPr>
              <w:t>四</w:t>
            </w:r>
            <w:r w:rsidRPr="00A3365F">
              <w:rPr>
                <w:rFonts w:ascii="標楷體" w:eastAsia="標楷體" w:hAnsi="標楷體" w:hint="eastAsia"/>
                <w:szCs w:val="24"/>
              </w:rPr>
              <w:t>)目之固定收入之</w:t>
            </w:r>
            <w:r w:rsidRPr="00A3365F">
              <w:rPr>
                <w:rFonts w:ascii="標楷體" w:eastAsia="標楷體" w:hAnsi="標楷體" w:hint="eastAsia"/>
                <w:szCs w:val="24"/>
              </w:rPr>
              <w:lastRenderedPageBreak/>
              <w:t>證明。</w:t>
            </w:r>
          </w:p>
          <w:p w:rsidR="004818CB" w:rsidRPr="00A3365F" w:rsidRDefault="004818CB" w:rsidP="00F85F4C">
            <w:pPr>
              <w:spacing w:line="360" w:lineRule="exact"/>
              <w:ind w:leftChars="131" w:left="799" w:hangingChars="202" w:hanging="485"/>
              <w:jc w:val="both"/>
              <w:rPr>
                <w:rFonts w:ascii="標楷體" w:eastAsia="標楷體" w:hAnsi="標楷體"/>
                <w:szCs w:val="24"/>
              </w:rPr>
            </w:pPr>
            <w:r w:rsidRPr="00A3365F">
              <w:rPr>
                <w:rFonts w:ascii="標楷體" w:eastAsia="標楷體" w:hAnsi="標楷體" w:hint="eastAsia"/>
                <w:szCs w:val="24"/>
              </w:rPr>
              <w:t>(</w:t>
            </w:r>
            <w:r w:rsidRPr="00A3365F">
              <w:rPr>
                <w:rFonts w:ascii="標楷體" w:eastAsia="標楷體" w:hAnsi="標楷體" w:hint="eastAsia"/>
                <w:color w:val="FF0000"/>
                <w:szCs w:val="24"/>
                <w:u w:val="single"/>
              </w:rPr>
              <w:t>六</w:t>
            </w:r>
            <w:r w:rsidRPr="00A3365F">
              <w:rPr>
                <w:rFonts w:ascii="標楷體" w:eastAsia="標楷體" w:hAnsi="標楷體" w:hint="eastAsia"/>
                <w:szCs w:val="24"/>
              </w:rPr>
              <w:t>)70歲以上之交易人未符合(</w:t>
            </w:r>
            <w:r w:rsidRPr="00A3365F">
              <w:rPr>
                <w:rFonts w:ascii="標楷體" w:eastAsia="標楷體" w:hAnsi="標楷體" w:hint="eastAsia"/>
                <w:color w:val="FF0000"/>
                <w:szCs w:val="24"/>
                <w:u w:val="single"/>
              </w:rPr>
              <w:t>四</w:t>
            </w:r>
            <w:r w:rsidRPr="00A3365F">
              <w:rPr>
                <w:rFonts w:ascii="標楷體" w:eastAsia="標楷體" w:hAnsi="標楷體" w:hint="eastAsia"/>
                <w:szCs w:val="24"/>
              </w:rPr>
              <w:t>)或(</w:t>
            </w:r>
            <w:r w:rsidRPr="00A3365F">
              <w:rPr>
                <w:rFonts w:ascii="標楷體" w:eastAsia="標楷體" w:hAnsi="標楷體" w:hint="eastAsia"/>
                <w:color w:val="FF0000"/>
                <w:szCs w:val="24"/>
                <w:u w:val="single"/>
              </w:rPr>
              <w:t>五</w:t>
            </w:r>
            <w:r w:rsidRPr="00A3365F">
              <w:rPr>
                <w:rFonts w:ascii="標楷體" w:eastAsia="標楷體" w:hAnsi="標楷體" w:hint="eastAsia"/>
                <w:szCs w:val="24"/>
              </w:rPr>
              <w:t>)之條件者，期貨商僅得接受新增選擇權買方之委託。</w:t>
            </w:r>
          </w:p>
          <w:p w:rsidR="004818CB" w:rsidRPr="00200722" w:rsidRDefault="004818CB" w:rsidP="00F85F4C">
            <w:pPr>
              <w:spacing w:line="360" w:lineRule="exact"/>
              <w:ind w:left="391" w:hangingChars="163" w:hanging="391"/>
              <w:jc w:val="both"/>
              <w:rPr>
                <w:rFonts w:ascii="標楷體" w:eastAsia="標楷體" w:hAnsi="標楷體"/>
                <w:szCs w:val="24"/>
              </w:rPr>
            </w:pPr>
            <w:r w:rsidRPr="00310069">
              <w:rPr>
                <w:rFonts w:ascii="標楷體" w:eastAsia="標楷體" w:hAnsi="標楷體" w:hint="eastAsia"/>
                <w:color w:val="FF0000"/>
                <w:szCs w:val="24"/>
                <w:u w:val="single"/>
              </w:rPr>
              <w:t>七</w:t>
            </w:r>
            <w:r w:rsidRPr="00200722">
              <w:rPr>
                <w:rFonts w:ascii="標楷體" w:eastAsia="標楷體" w:hAnsi="標楷體" w:hint="eastAsia"/>
                <w:szCs w:val="24"/>
              </w:rPr>
              <w:t>、期貨商應每年重新評估70歲以上交易人提供之最近一年固定收入證明或資產證明，重新評估後固定收入合計金額未達新台幣60萬元或資產證明未達新台幣5000萬元者，僅得接受平倉委託及新增選擇權買方之委託。</w:t>
            </w:r>
          </w:p>
          <w:p w:rsidR="000F731C" w:rsidRDefault="000F731C" w:rsidP="00F85F4C">
            <w:pPr>
              <w:spacing w:line="360" w:lineRule="exact"/>
              <w:ind w:left="391" w:hangingChars="163" w:hanging="391"/>
              <w:jc w:val="both"/>
              <w:rPr>
                <w:rFonts w:ascii="標楷體" w:eastAsia="標楷體" w:hAnsi="標楷體"/>
                <w:color w:val="FF0000"/>
                <w:szCs w:val="24"/>
                <w:u w:val="single"/>
              </w:rPr>
            </w:pPr>
          </w:p>
          <w:p w:rsidR="004818CB" w:rsidRPr="00A3365F" w:rsidRDefault="004818CB" w:rsidP="00F85F4C">
            <w:pPr>
              <w:spacing w:line="360" w:lineRule="exact"/>
              <w:ind w:left="391" w:hangingChars="163" w:hanging="391"/>
              <w:jc w:val="both"/>
              <w:rPr>
                <w:rFonts w:ascii="標楷體" w:eastAsia="標楷體" w:hAnsi="標楷體"/>
                <w:szCs w:val="24"/>
              </w:rPr>
            </w:pPr>
            <w:r w:rsidRPr="00310069">
              <w:rPr>
                <w:rFonts w:ascii="標楷體" w:eastAsia="標楷體" w:hAnsi="標楷體" w:hint="eastAsia"/>
                <w:color w:val="FF0000"/>
                <w:szCs w:val="24"/>
                <w:u w:val="single"/>
              </w:rPr>
              <w:t>八</w:t>
            </w:r>
            <w:r w:rsidRPr="00A3365F">
              <w:rPr>
                <w:rFonts w:ascii="標楷體" w:eastAsia="標楷體" w:hAnsi="標楷體" w:hint="eastAsia"/>
                <w:szCs w:val="24"/>
              </w:rPr>
              <w:t>、期貨商應於70歲以上之交易人之買賣報告書及對帳單揭示交易相關風險警語。（風險警語內容詳如附件</w:t>
            </w:r>
            <w:r w:rsidRPr="000F731C">
              <w:rPr>
                <w:rFonts w:ascii="標楷體" w:eastAsia="標楷體" w:hAnsi="標楷體" w:hint="eastAsia"/>
                <w:color w:val="FF0000"/>
                <w:szCs w:val="24"/>
                <w:u w:val="single"/>
              </w:rPr>
              <w:t>三</w:t>
            </w:r>
            <w:r w:rsidRPr="00A3365F">
              <w:rPr>
                <w:rFonts w:ascii="標楷體" w:eastAsia="標楷體" w:hAnsi="標楷體" w:hint="eastAsia"/>
                <w:szCs w:val="24"/>
              </w:rPr>
              <w:t>）</w:t>
            </w:r>
          </w:p>
          <w:p w:rsidR="004818CB" w:rsidRPr="00A3365F" w:rsidRDefault="004818CB" w:rsidP="00F85F4C">
            <w:pPr>
              <w:spacing w:line="360" w:lineRule="exact"/>
              <w:ind w:left="391" w:hangingChars="163" w:hanging="391"/>
              <w:jc w:val="both"/>
              <w:rPr>
                <w:rFonts w:ascii="標楷體" w:eastAsia="標楷體" w:hAnsi="標楷體"/>
                <w:szCs w:val="24"/>
              </w:rPr>
            </w:pPr>
            <w:r w:rsidRPr="000F731C">
              <w:rPr>
                <w:rFonts w:ascii="標楷體" w:eastAsia="標楷體" w:hAnsi="標楷體" w:hint="eastAsia"/>
                <w:color w:val="FF0000"/>
                <w:szCs w:val="24"/>
                <w:u w:val="single"/>
              </w:rPr>
              <w:t>九</w:t>
            </w:r>
            <w:r w:rsidRPr="00A3365F">
              <w:rPr>
                <w:rFonts w:ascii="標楷體" w:eastAsia="標楷體" w:hAnsi="標楷體" w:hint="eastAsia"/>
                <w:szCs w:val="24"/>
              </w:rPr>
              <w:t>、委託人為視障者，其開戶應依本公會會員金融友善服務準則規定辦理。</w:t>
            </w:r>
          </w:p>
          <w:p w:rsidR="00F13072" w:rsidRPr="00A3365F" w:rsidRDefault="004818CB" w:rsidP="00F85F4C">
            <w:pPr>
              <w:spacing w:line="360" w:lineRule="exact"/>
              <w:ind w:left="391" w:hangingChars="163" w:hanging="391"/>
              <w:jc w:val="both"/>
              <w:rPr>
                <w:rFonts w:ascii="標楷體" w:eastAsia="標楷體" w:hAnsi="標楷體"/>
                <w:szCs w:val="24"/>
              </w:rPr>
            </w:pPr>
            <w:r w:rsidRPr="00200722">
              <w:rPr>
                <w:rFonts w:ascii="標楷體" w:eastAsia="標楷體" w:hAnsi="標楷體" w:hint="eastAsia"/>
                <w:color w:val="FF0000"/>
                <w:szCs w:val="24"/>
                <w:u w:val="single"/>
              </w:rPr>
              <w:t>十、開戶時未提供符合期貨商要求之徵信資料或財力證明之自然人及一般法人交易人，其帳戶委託中及未沖銷期貨、選擇權部位所需保證金之總額不得逾新台幣50萬元。</w:t>
            </w:r>
          </w:p>
        </w:tc>
        <w:tc>
          <w:tcPr>
            <w:tcW w:w="1667" w:type="pct"/>
          </w:tcPr>
          <w:p w:rsidR="00F13072" w:rsidRPr="00A3365F" w:rsidRDefault="00F13072" w:rsidP="00F85F4C">
            <w:pPr>
              <w:spacing w:line="360" w:lineRule="exact"/>
              <w:ind w:left="458" w:hanging="565"/>
              <w:jc w:val="both"/>
              <w:rPr>
                <w:rFonts w:ascii="標楷體" w:eastAsia="標楷體" w:hAnsi="標楷體"/>
                <w:szCs w:val="24"/>
              </w:rPr>
            </w:pPr>
            <w:r w:rsidRPr="00A3365F">
              <w:rPr>
                <w:rFonts w:ascii="標楷體" w:eastAsia="標楷體" w:hAnsi="標楷體" w:hint="eastAsia"/>
                <w:szCs w:val="24"/>
                <w:lang w:eastAsia="zh-HK"/>
              </w:rPr>
              <w:lastRenderedPageBreak/>
              <w:t>一、配合於第四條第二項增訂「期貨交易知識認知表」附件，調整第一款及修正後條文第八款、第十款附件編號，</w:t>
            </w:r>
            <w:r w:rsidRPr="00A3365F">
              <w:rPr>
                <w:rFonts w:ascii="標楷體" w:eastAsia="標楷體" w:hAnsi="標楷體" w:hint="eastAsia"/>
                <w:szCs w:val="24"/>
              </w:rPr>
              <w:t>並修正</w:t>
            </w:r>
            <w:r w:rsidRPr="00A3365F">
              <w:rPr>
                <w:rFonts w:ascii="標楷體" w:eastAsia="標楷體" w:hAnsi="標楷體" w:hint="eastAsia"/>
                <w:szCs w:val="24"/>
                <w:lang w:eastAsia="zh-HK"/>
              </w:rPr>
              <w:t>二</w:t>
            </w:r>
            <w:r w:rsidRPr="00A3365F">
              <w:rPr>
                <w:rFonts w:ascii="標楷體" w:eastAsia="標楷體" w:hAnsi="標楷體" w:hint="eastAsia"/>
                <w:szCs w:val="24"/>
              </w:rPr>
              <w:t>、徵信及審核表有關審核意見欄。</w:t>
            </w:r>
          </w:p>
          <w:p w:rsidR="00F13072" w:rsidRPr="00A3365F" w:rsidRDefault="00F13072" w:rsidP="00F85F4C">
            <w:pPr>
              <w:spacing w:line="360" w:lineRule="exact"/>
              <w:ind w:left="458" w:hanging="565"/>
              <w:jc w:val="both"/>
              <w:rPr>
                <w:rFonts w:ascii="標楷體" w:eastAsia="標楷體" w:hAnsi="標楷體"/>
                <w:szCs w:val="24"/>
                <w:lang w:eastAsia="zh-HK"/>
              </w:rPr>
            </w:pPr>
            <w:r w:rsidRPr="00A3365F">
              <w:rPr>
                <w:rFonts w:ascii="標楷體" w:eastAsia="標楷體" w:hAnsi="標楷體" w:hint="eastAsia"/>
                <w:szCs w:val="24"/>
                <w:lang w:eastAsia="zh-HK"/>
              </w:rPr>
              <w:t>二、於第二款增訂交易人交易額度核給之相關作業。</w:t>
            </w:r>
          </w:p>
          <w:p w:rsidR="00F13072" w:rsidRPr="00A3365F" w:rsidRDefault="00F13072" w:rsidP="00F85F4C">
            <w:pPr>
              <w:spacing w:line="360" w:lineRule="exact"/>
              <w:ind w:left="458" w:hanging="565"/>
              <w:jc w:val="both"/>
              <w:rPr>
                <w:rFonts w:ascii="標楷體" w:eastAsia="標楷體" w:hAnsi="標楷體"/>
                <w:szCs w:val="24"/>
                <w:lang w:eastAsia="zh-HK"/>
              </w:rPr>
            </w:pPr>
            <w:r w:rsidRPr="00A3365F">
              <w:rPr>
                <w:rFonts w:ascii="標楷體" w:eastAsia="標楷體" w:hAnsi="標楷體" w:hint="eastAsia"/>
                <w:szCs w:val="24"/>
                <w:lang w:eastAsia="zh-HK"/>
              </w:rPr>
              <w:t>三、於第三款明定受理本規則第三條所稱專業投資機構開戶，得依自行訂定之徵信評估作業辦理。</w:t>
            </w:r>
          </w:p>
          <w:p w:rsidR="002F5E4C" w:rsidRPr="006E4B95" w:rsidRDefault="002F5E4C" w:rsidP="00F85F4C">
            <w:pPr>
              <w:spacing w:line="360" w:lineRule="exact"/>
              <w:ind w:left="458" w:hanging="565"/>
              <w:jc w:val="both"/>
              <w:rPr>
                <w:rFonts w:ascii="標楷體" w:eastAsia="標楷體" w:hAnsi="標楷體"/>
                <w:szCs w:val="24"/>
              </w:rPr>
            </w:pPr>
            <w:r w:rsidRPr="006E4B95">
              <w:rPr>
                <w:rFonts w:ascii="標楷體" w:eastAsia="標楷體" w:hAnsi="標楷體" w:hint="eastAsia"/>
                <w:szCs w:val="24"/>
                <w:lang w:eastAsia="zh-HK"/>
              </w:rPr>
              <w:t>四</w:t>
            </w:r>
            <w:r w:rsidRPr="006E4B95">
              <w:rPr>
                <w:rFonts w:ascii="標楷體" w:eastAsia="標楷體" w:hAnsi="標楷體" w:hint="eastAsia"/>
                <w:szCs w:val="24"/>
              </w:rPr>
              <w:t>、</w:t>
            </w:r>
            <w:r w:rsidRPr="006E4B95">
              <w:rPr>
                <w:rFonts w:ascii="標楷體" w:eastAsia="標楷體" w:hAnsi="標楷體" w:hint="eastAsia"/>
                <w:szCs w:val="24"/>
                <w:lang w:eastAsia="zh-HK"/>
              </w:rPr>
              <w:t>原</w:t>
            </w:r>
            <w:r w:rsidRPr="006E4B95">
              <w:rPr>
                <w:rFonts w:ascii="標楷體" w:eastAsia="標楷體" w:hAnsi="標楷體" w:hint="eastAsia"/>
                <w:szCs w:val="24"/>
              </w:rPr>
              <w:t>第六款第（一）目文字重覆，爰予以刪除，</w:t>
            </w:r>
            <w:r w:rsidRPr="006E4B95">
              <w:rPr>
                <w:rFonts w:ascii="標楷體" w:eastAsia="標楷體" w:hAnsi="標楷體" w:hint="eastAsia"/>
                <w:szCs w:val="24"/>
                <w:lang w:eastAsia="zh-HK"/>
              </w:rPr>
              <w:t>並調整為第八款</w:t>
            </w:r>
            <w:r w:rsidRPr="006E4B95">
              <w:rPr>
                <w:rFonts w:ascii="標楷體" w:eastAsia="標楷體" w:hAnsi="標楷體" w:hint="eastAsia"/>
                <w:szCs w:val="24"/>
              </w:rPr>
              <w:t>。</w:t>
            </w:r>
          </w:p>
          <w:p w:rsidR="002F5E4C" w:rsidRPr="006E4B95" w:rsidRDefault="002F5E4C" w:rsidP="00F85F4C">
            <w:pPr>
              <w:spacing w:line="360" w:lineRule="exact"/>
              <w:ind w:left="458" w:hanging="565"/>
              <w:jc w:val="both"/>
              <w:rPr>
                <w:rFonts w:ascii="標楷體" w:eastAsia="標楷體" w:hAnsi="標楷體"/>
                <w:szCs w:val="24"/>
              </w:rPr>
            </w:pPr>
            <w:r w:rsidRPr="006E4B95">
              <w:rPr>
                <w:rFonts w:ascii="標楷體" w:eastAsia="標楷體" w:hAnsi="標楷體" w:hint="eastAsia"/>
                <w:szCs w:val="24"/>
                <w:lang w:eastAsia="zh-HK"/>
              </w:rPr>
              <w:t>五</w:t>
            </w:r>
            <w:r w:rsidRPr="006E4B95">
              <w:rPr>
                <w:rFonts w:ascii="標楷體" w:eastAsia="標楷體" w:hAnsi="標楷體" w:hint="eastAsia"/>
                <w:szCs w:val="24"/>
              </w:rPr>
              <w:t>、</w:t>
            </w:r>
            <w:r w:rsidRPr="006E4B95">
              <w:rPr>
                <w:rFonts w:ascii="標楷體" w:eastAsia="標楷體" w:hAnsi="標楷體" w:hint="eastAsia"/>
                <w:szCs w:val="24"/>
                <w:lang w:eastAsia="zh-HK"/>
              </w:rPr>
              <w:t>原</w:t>
            </w:r>
            <w:r w:rsidRPr="006E4B95">
              <w:rPr>
                <w:rFonts w:ascii="標楷體" w:eastAsia="標楷體" w:hAnsi="標楷體" w:hint="eastAsia"/>
                <w:szCs w:val="24"/>
              </w:rPr>
              <w:t>第六款第（三）目明定</w:t>
            </w:r>
            <w:r w:rsidRPr="006E4B95">
              <w:rPr>
                <w:rFonts w:ascii="標楷體" w:eastAsia="標楷體" w:hAnsi="標楷體"/>
                <w:szCs w:val="24"/>
              </w:rPr>
              <w:t>70</w:t>
            </w:r>
            <w:r w:rsidRPr="006E4B95">
              <w:rPr>
                <w:rFonts w:ascii="標楷體" w:eastAsia="標楷體" w:hAnsi="標楷體" w:hint="eastAsia"/>
                <w:szCs w:val="24"/>
              </w:rPr>
              <w:t>歲以上之交易人有開戶需求者，應具備條件：｢應提供期貨商要求之徵信資料及財力證明，財力證明經徵信人員評估後之總價值數額為新台幣</w:t>
            </w:r>
            <w:r w:rsidRPr="006E4B95">
              <w:rPr>
                <w:rFonts w:ascii="標楷體" w:eastAsia="標楷體" w:hAnsi="標楷體"/>
                <w:szCs w:val="24"/>
              </w:rPr>
              <w:t>250</w:t>
            </w:r>
            <w:r w:rsidRPr="006E4B95">
              <w:rPr>
                <w:rFonts w:ascii="標楷體" w:eastAsia="標楷體" w:hAnsi="標楷體" w:hint="eastAsia"/>
                <w:szCs w:val="24"/>
              </w:rPr>
              <w:t>萬元以上。」之規定，考量此類交易人提供財力證明已有固定收入達</w:t>
            </w:r>
            <w:r w:rsidRPr="006E4B95">
              <w:rPr>
                <w:rFonts w:ascii="標楷體" w:eastAsia="標楷體" w:hAnsi="標楷體" w:hint="eastAsia"/>
                <w:szCs w:val="24"/>
              </w:rPr>
              <w:lastRenderedPageBreak/>
              <w:t>新台幣</w:t>
            </w:r>
            <w:r w:rsidRPr="006E4B95">
              <w:rPr>
                <w:rFonts w:ascii="標楷體" w:eastAsia="標楷體" w:hAnsi="標楷體"/>
                <w:szCs w:val="24"/>
              </w:rPr>
              <w:t>60</w:t>
            </w:r>
            <w:r w:rsidRPr="006E4B95">
              <w:rPr>
                <w:rFonts w:ascii="標楷體" w:eastAsia="標楷體" w:hAnsi="標楷體" w:hint="eastAsia"/>
                <w:szCs w:val="24"/>
              </w:rPr>
              <w:t>萬元或資產證明達新台幣</w:t>
            </w:r>
            <w:r w:rsidRPr="006E4B95">
              <w:rPr>
                <w:rFonts w:ascii="標楷體" w:eastAsia="標楷體" w:hAnsi="標楷體"/>
                <w:szCs w:val="24"/>
              </w:rPr>
              <w:t>5000</w:t>
            </w:r>
            <w:r w:rsidRPr="006E4B95">
              <w:rPr>
                <w:rFonts w:ascii="標楷體" w:eastAsia="標楷體" w:hAnsi="標楷體" w:hint="eastAsia"/>
                <w:szCs w:val="24"/>
              </w:rPr>
              <w:t>萬元兩類規範，爰予以刪除。</w:t>
            </w:r>
          </w:p>
          <w:p w:rsidR="002F5E4C" w:rsidRPr="006E4B95" w:rsidRDefault="00A94B32" w:rsidP="00F85F4C">
            <w:pPr>
              <w:spacing w:line="360" w:lineRule="exact"/>
              <w:ind w:left="458" w:hanging="565"/>
              <w:jc w:val="both"/>
              <w:rPr>
                <w:rFonts w:ascii="標楷體" w:eastAsia="標楷體" w:hAnsi="標楷體"/>
                <w:szCs w:val="24"/>
              </w:rPr>
            </w:pPr>
            <w:r w:rsidRPr="006E4B95">
              <w:rPr>
                <w:rFonts w:ascii="標楷體" w:eastAsia="標楷體" w:hAnsi="標楷體" w:hint="eastAsia"/>
                <w:szCs w:val="24"/>
                <w:lang w:eastAsia="zh-HK"/>
              </w:rPr>
              <w:t>六</w:t>
            </w:r>
            <w:r w:rsidR="002F5E4C" w:rsidRPr="006E4B95">
              <w:rPr>
                <w:rFonts w:ascii="標楷體" w:eastAsia="標楷體" w:hAnsi="標楷體" w:hint="eastAsia"/>
                <w:szCs w:val="24"/>
              </w:rPr>
              <w:t>、原第六款第（四）文字重覆，爰予以修正，並調整為</w:t>
            </w:r>
            <w:r w:rsidR="002F5E4C" w:rsidRPr="006E4B95">
              <w:rPr>
                <w:rFonts w:ascii="標楷體" w:eastAsia="標楷體" w:hAnsi="標楷體" w:hint="eastAsia"/>
                <w:szCs w:val="24"/>
                <w:lang w:eastAsia="zh-HK"/>
              </w:rPr>
              <w:t>第八款</w:t>
            </w:r>
            <w:r w:rsidR="002F5E4C" w:rsidRPr="006E4B95">
              <w:rPr>
                <w:rFonts w:ascii="標楷體" w:eastAsia="標楷體" w:hAnsi="標楷體" w:hint="eastAsia"/>
                <w:szCs w:val="24"/>
              </w:rPr>
              <w:t>第（三）目。</w:t>
            </w:r>
          </w:p>
          <w:p w:rsidR="002F5E4C" w:rsidRPr="006E4B95" w:rsidRDefault="00A94B32" w:rsidP="00F85F4C">
            <w:pPr>
              <w:spacing w:line="360" w:lineRule="exact"/>
              <w:ind w:left="458" w:hanging="565"/>
              <w:jc w:val="both"/>
              <w:rPr>
                <w:rFonts w:ascii="標楷體" w:eastAsia="標楷體" w:hAnsi="標楷體"/>
                <w:szCs w:val="24"/>
              </w:rPr>
            </w:pPr>
            <w:r w:rsidRPr="006E4B95">
              <w:rPr>
                <w:rFonts w:ascii="標楷體" w:eastAsia="標楷體" w:hAnsi="標楷體" w:hint="eastAsia"/>
                <w:szCs w:val="24"/>
                <w:lang w:eastAsia="zh-HK"/>
              </w:rPr>
              <w:t>七</w:t>
            </w:r>
            <w:r w:rsidR="002F5E4C" w:rsidRPr="006E4B95">
              <w:rPr>
                <w:rFonts w:ascii="標楷體" w:eastAsia="標楷體" w:hAnsi="標楷體" w:hint="eastAsia"/>
                <w:szCs w:val="24"/>
              </w:rPr>
              <w:t>、原第六款第（五）目調整為</w:t>
            </w:r>
            <w:r w:rsidR="00D9065A" w:rsidRPr="006E4B95">
              <w:rPr>
                <w:rFonts w:ascii="標楷體" w:eastAsia="標楷體" w:hAnsi="標楷體" w:hint="eastAsia"/>
                <w:szCs w:val="24"/>
              </w:rPr>
              <w:t>第八款</w:t>
            </w:r>
            <w:r w:rsidR="002F5E4C" w:rsidRPr="006E4B95">
              <w:rPr>
                <w:rFonts w:ascii="標楷體" w:eastAsia="標楷體" w:hAnsi="標楷體" w:hint="eastAsia"/>
                <w:szCs w:val="24"/>
              </w:rPr>
              <w:t>第（四）目，並酌修文字。</w:t>
            </w:r>
          </w:p>
          <w:p w:rsidR="002F5E4C" w:rsidRPr="006E4B95" w:rsidRDefault="00A94B32" w:rsidP="00F85F4C">
            <w:pPr>
              <w:spacing w:line="360" w:lineRule="exact"/>
              <w:ind w:left="458" w:hanging="565"/>
              <w:jc w:val="both"/>
              <w:rPr>
                <w:rFonts w:ascii="標楷體" w:eastAsia="標楷體" w:hAnsi="標楷體"/>
                <w:szCs w:val="24"/>
              </w:rPr>
            </w:pPr>
            <w:r w:rsidRPr="006E4B95">
              <w:rPr>
                <w:rFonts w:ascii="標楷體" w:eastAsia="標楷體" w:hAnsi="標楷體" w:hint="eastAsia"/>
                <w:szCs w:val="24"/>
                <w:lang w:eastAsia="zh-HK"/>
              </w:rPr>
              <w:t>八</w:t>
            </w:r>
            <w:r w:rsidR="002F5E4C" w:rsidRPr="006E4B95">
              <w:rPr>
                <w:rFonts w:ascii="標楷體" w:eastAsia="標楷體" w:hAnsi="標楷體" w:hint="eastAsia"/>
                <w:szCs w:val="24"/>
              </w:rPr>
              <w:t>、原第六款第（六）目調整為</w:t>
            </w:r>
            <w:r w:rsidR="00D9065A" w:rsidRPr="006E4B95">
              <w:rPr>
                <w:rFonts w:ascii="標楷體" w:eastAsia="標楷體" w:hAnsi="標楷體" w:hint="eastAsia"/>
                <w:szCs w:val="24"/>
                <w:lang w:eastAsia="zh-HK"/>
              </w:rPr>
              <w:t>第八款</w:t>
            </w:r>
            <w:r w:rsidR="002F5E4C" w:rsidRPr="006E4B95">
              <w:rPr>
                <w:rFonts w:ascii="標楷體" w:eastAsia="標楷體" w:hAnsi="標楷體" w:hint="eastAsia"/>
                <w:szCs w:val="24"/>
              </w:rPr>
              <w:t>第（五）目，並酌修文字。</w:t>
            </w:r>
          </w:p>
          <w:p w:rsidR="002F5E4C" w:rsidRPr="006E4B95" w:rsidRDefault="00A94B32" w:rsidP="00F85F4C">
            <w:pPr>
              <w:spacing w:line="360" w:lineRule="exact"/>
              <w:ind w:left="458" w:hanging="565"/>
              <w:jc w:val="both"/>
              <w:rPr>
                <w:rFonts w:ascii="標楷體" w:eastAsia="標楷體" w:hAnsi="標楷體"/>
                <w:szCs w:val="24"/>
              </w:rPr>
            </w:pPr>
            <w:r w:rsidRPr="006E4B95">
              <w:rPr>
                <w:rFonts w:ascii="標楷體" w:eastAsia="標楷體" w:hAnsi="標楷體" w:hint="eastAsia"/>
                <w:szCs w:val="24"/>
                <w:lang w:eastAsia="zh-HK"/>
              </w:rPr>
              <w:t>九</w:t>
            </w:r>
            <w:r w:rsidR="002F5E4C" w:rsidRPr="006E4B95">
              <w:rPr>
                <w:rFonts w:ascii="標楷體" w:eastAsia="標楷體" w:hAnsi="標楷體" w:hint="eastAsia"/>
                <w:szCs w:val="24"/>
              </w:rPr>
              <w:t>、於第七款明訂重新評估之對象為最近一年有交易之70歲以上交易人。</w:t>
            </w:r>
          </w:p>
          <w:p w:rsidR="002F5E4C" w:rsidRPr="00A3365F" w:rsidRDefault="00A94B32" w:rsidP="00F85F4C">
            <w:pPr>
              <w:spacing w:line="360" w:lineRule="exact"/>
              <w:ind w:left="458" w:hanging="565"/>
              <w:jc w:val="both"/>
              <w:rPr>
                <w:rFonts w:ascii="標楷體" w:eastAsia="標楷體" w:hAnsi="標楷體"/>
                <w:szCs w:val="24"/>
              </w:rPr>
            </w:pPr>
            <w:r>
              <w:rPr>
                <w:rFonts w:ascii="標楷體" w:eastAsia="標楷體" w:hAnsi="標楷體" w:hint="eastAsia"/>
                <w:szCs w:val="24"/>
                <w:lang w:eastAsia="zh-HK"/>
              </w:rPr>
              <w:t>十</w:t>
            </w:r>
            <w:r w:rsidR="002F5E4C" w:rsidRPr="002F5E4C">
              <w:rPr>
                <w:rFonts w:ascii="標楷體" w:eastAsia="標楷體" w:hAnsi="標楷體" w:hint="eastAsia"/>
                <w:szCs w:val="24"/>
              </w:rPr>
              <w:t>、原第十款規定已移至第二款第三目並增訂相關作業，爰予刪除。</w:t>
            </w:r>
          </w:p>
          <w:p w:rsidR="00F13072" w:rsidRPr="00A3365F" w:rsidRDefault="00A94B32" w:rsidP="00F85F4C">
            <w:pPr>
              <w:spacing w:line="360" w:lineRule="exact"/>
              <w:ind w:left="458" w:hanging="565"/>
              <w:jc w:val="both"/>
              <w:rPr>
                <w:rFonts w:ascii="標楷體" w:eastAsia="標楷體" w:hAnsi="標楷體"/>
                <w:szCs w:val="24"/>
              </w:rPr>
            </w:pPr>
            <w:r>
              <w:rPr>
                <w:rFonts w:ascii="標楷體" w:eastAsia="標楷體" w:hAnsi="標楷體" w:hint="eastAsia"/>
                <w:szCs w:val="24"/>
                <w:lang w:eastAsia="zh-HK"/>
              </w:rPr>
              <w:t>十一</w:t>
            </w:r>
            <w:r w:rsidR="00F13072" w:rsidRPr="00A3365F">
              <w:rPr>
                <w:rFonts w:ascii="標楷體" w:eastAsia="標楷體" w:hAnsi="標楷體" w:hint="eastAsia"/>
                <w:szCs w:val="24"/>
                <w:lang w:eastAsia="zh-HK"/>
              </w:rPr>
              <w:t>、其餘為款次變更。</w:t>
            </w:r>
          </w:p>
        </w:tc>
      </w:tr>
    </w:tbl>
    <w:p w:rsidR="00A7333D" w:rsidRPr="00A3365F" w:rsidRDefault="005066CE" w:rsidP="00F85F4C">
      <w:pPr>
        <w:spacing w:line="360" w:lineRule="exact"/>
        <w:rPr>
          <w:rFonts w:ascii="標楷體" w:eastAsia="標楷體" w:hAnsi="標楷體"/>
          <w:szCs w:val="24"/>
        </w:rPr>
      </w:pPr>
    </w:p>
    <w:sectPr w:rsidR="00A7333D" w:rsidRPr="00A3365F" w:rsidSect="00F13072">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CE" w:rsidRDefault="005066CE" w:rsidP="00F13072">
      <w:r>
        <w:separator/>
      </w:r>
    </w:p>
  </w:endnote>
  <w:endnote w:type="continuationSeparator" w:id="0">
    <w:p w:rsidR="005066CE" w:rsidRDefault="005066CE" w:rsidP="00F1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285642"/>
      <w:docPartObj>
        <w:docPartGallery w:val="Page Numbers (Bottom of Page)"/>
        <w:docPartUnique/>
      </w:docPartObj>
    </w:sdtPr>
    <w:sdtEndPr>
      <w:rPr>
        <w:color w:val="002060"/>
        <w:shd w:val="pct15" w:color="auto" w:fill="FFFFFF"/>
      </w:rPr>
    </w:sdtEndPr>
    <w:sdtContent>
      <w:sdt>
        <w:sdtPr>
          <w:id w:val="98381352"/>
          <w:docPartObj>
            <w:docPartGallery w:val="Page Numbers (Top of Page)"/>
            <w:docPartUnique/>
          </w:docPartObj>
        </w:sdtPr>
        <w:sdtEndPr>
          <w:rPr>
            <w:color w:val="002060"/>
            <w:shd w:val="pct15" w:color="auto" w:fill="FFFFFF"/>
          </w:rPr>
        </w:sdtEndPr>
        <w:sdtContent>
          <w:p w:rsidR="006F2556" w:rsidRPr="002F450E" w:rsidRDefault="006F2556" w:rsidP="006F2556">
            <w:pPr>
              <w:pStyle w:val="a6"/>
              <w:jc w:val="center"/>
              <w:rPr>
                <w:color w:val="002060"/>
              </w:rPr>
            </w:pPr>
            <w:r w:rsidRPr="002F450E">
              <w:rPr>
                <w:color w:val="002060"/>
                <w:lang w:val="zh-TW"/>
              </w:rPr>
              <w:t xml:space="preserve"> </w:t>
            </w:r>
            <w:sdt>
              <w:sdtPr>
                <w:id w:val="1573086883"/>
                <w:docPartObj>
                  <w:docPartGallery w:val="Page Numbers (Top of Page)"/>
                  <w:docPartUnique/>
                </w:docPartObj>
              </w:sdtPr>
              <w:sdtEndPr>
                <w:rPr>
                  <w:lang w:eastAsia="zh-HK"/>
                </w:rPr>
              </w:sdtEndPr>
              <w:sdtContent>
                <w:r w:rsidR="00A554E6" w:rsidRPr="007B0370">
                  <w:rPr>
                    <w:lang w:eastAsia="zh-HK"/>
                  </w:rPr>
                  <w:fldChar w:fldCharType="begin"/>
                </w:r>
                <w:r w:rsidR="00A554E6" w:rsidRPr="007B0370">
                  <w:rPr>
                    <w:lang w:eastAsia="zh-HK"/>
                  </w:rPr>
                  <w:instrText>PAGE</w:instrText>
                </w:r>
                <w:r w:rsidR="00A554E6" w:rsidRPr="007B0370">
                  <w:rPr>
                    <w:lang w:eastAsia="zh-HK"/>
                  </w:rPr>
                  <w:fldChar w:fldCharType="separate"/>
                </w:r>
                <w:r w:rsidR="00FE175E">
                  <w:rPr>
                    <w:noProof/>
                    <w:lang w:eastAsia="zh-HK"/>
                  </w:rPr>
                  <w:t>6</w:t>
                </w:r>
                <w:r w:rsidR="00A554E6" w:rsidRPr="007B0370">
                  <w:rPr>
                    <w:lang w:eastAsia="zh-HK"/>
                  </w:rPr>
                  <w:fldChar w:fldCharType="end"/>
                </w:r>
                <w:r w:rsidR="00A554E6" w:rsidRPr="007B0370">
                  <w:rPr>
                    <w:lang w:eastAsia="zh-HK"/>
                  </w:rPr>
                  <w:t xml:space="preserve"> </w:t>
                </w:r>
                <w:r w:rsidR="00A554E6" w:rsidRPr="007B0370">
                  <w:rPr>
                    <w:lang w:eastAsia="zh-HK"/>
                  </w:rPr>
                  <w:t>的</w:t>
                </w:r>
                <w:r w:rsidR="00A554E6" w:rsidRPr="007B0370">
                  <w:rPr>
                    <w:lang w:eastAsia="zh-HK"/>
                  </w:rPr>
                  <w:t xml:space="preserve"> </w:t>
                </w:r>
                <w:r w:rsidR="00A554E6" w:rsidRPr="007B0370">
                  <w:rPr>
                    <w:lang w:eastAsia="zh-HK"/>
                  </w:rPr>
                  <w:fldChar w:fldCharType="begin"/>
                </w:r>
                <w:r w:rsidR="00A554E6" w:rsidRPr="007B0370">
                  <w:rPr>
                    <w:lang w:eastAsia="zh-HK"/>
                  </w:rPr>
                  <w:instrText>NUMPAGES</w:instrText>
                </w:r>
                <w:r w:rsidR="00A554E6" w:rsidRPr="007B0370">
                  <w:rPr>
                    <w:lang w:eastAsia="zh-HK"/>
                  </w:rPr>
                  <w:fldChar w:fldCharType="separate"/>
                </w:r>
                <w:r w:rsidR="00FE175E">
                  <w:rPr>
                    <w:noProof/>
                    <w:lang w:eastAsia="zh-HK"/>
                  </w:rPr>
                  <w:t>8</w:t>
                </w:r>
                <w:r w:rsidR="00A554E6" w:rsidRPr="007B0370">
                  <w:rPr>
                    <w:lang w:eastAsia="zh-HK"/>
                  </w:rPr>
                  <w:fldChar w:fldCharType="end"/>
                </w:r>
              </w:sdtContent>
            </w:sdt>
          </w:p>
        </w:sdtContent>
      </w:sdt>
    </w:sdtContent>
  </w:sdt>
  <w:p w:rsidR="006F2556" w:rsidRDefault="006F25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CE" w:rsidRDefault="005066CE" w:rsidP="00F13072">
      <w:r>
        <w:separator/>
      </w:r>
    </w:p>
  </w:footnote>
  <w:footnote w:type="continuationSeparator" w:id="0">
    <w:p w:rsidR="005066CE" w:rsidRDefault="005066CE" w:rsidP="00F1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72" w:rsidRPr="003F26E2" w:rsidRDefault="00F13072" w:rsidP="00634F46">
    <w:pPr>
      <w:pStyle w:val="2"/>
      <w:spacing w:line="300" w:lineRule="exact"/>
      <w:ind w:left="113"/>
      <w:jc w:val="center"/>
      <w:rPr>
        <w:rFonts w:cs="新細明體"/>
        <w:color w:val="000000"/>
        <w:sz w:val="28"/>
        <w:szCs w:val="28"/>
        <w:lang w:eastAsia="zh-TW"/>
      </w:rPr>
    </w:pPr>
    <w:r w:rsidRPr="003F26E2">
      <w:rPr>
        <w:rFonts w:cs="新細明體" w:hint="eastAsia"/>
        <w:color w:val="000000"/>
        <w:sz w:val="28"/>
        <w:szCs w:val="28"/>
        <w:lang w:eastAsia="zh-TW"/>
      </w:rPr>
      <w:t>中華民國期貨業商業同業公會</w:t>
    </w:r>
  </w:p>
  <w:p w:rsidR="00F13072" w:rsidRPr="003F26E2" w:rsidRDefault="00F13072" w:rsidP="00634F46">
    <w:pPr>
      <w:pStyle w:val="2"/>
      <w:spacing w:line="300" w:lineRule="exact"/>
      <w:ind w:left="113"/>
      <w:jc w:val="center"/>
      <w:rPr>
        <w:rFonts w:cs="新細明體"/>
        <w:color w:val="000000"/>
        <w:sz w:val="28"/>
        <w:szCs w:val="28"/>
        <w:lang w:eastAsia="zh-TW"/>
      </w:rPr>
    </w:pPr>
    <w:r w:rsidRPr="003F26E2">
      <w:rPr>
        <w:rFonts w:cs="新細明體" w:hint="eastAsia"/>
        <w:color w:val="000000"/>
        <w:sz w:val="28"/>
        <w:szCs w:val="28"/>
        <w:lang w:eastAsia="zh-TW"/>
      </w:rPr>
      <w:t>期貨商開戶徵信作業管理自律規則</w:t>
    </w:r>
  </w:p>
  <w:p w:rsidR="00F13072" w:rsidRDefault="00F13072" w:rsidP="00634F46">
    <w:pPr>
      <w:pStyle w:val="2"/>
      <w:spacing w:line="300" w:lineRule="exact"/>
      <w:ind w:left="113"/>
      <w:jc w:val="center"/>
    </w:pPr>
    <w:r w:rsidRPr="003F26E2">
      <w:rPr>
        <w:rFonts w:cs="新細明體" w:hint="eastAsia"/>
        <w:color w:val="000000"/>
        <w:sz w:val="28"/>
        <w:szCs w:val="28"/>
        <w:lang w:eastAsia="zh-TW"/>
      </w:rPr>
      <w:t xml:space="preserve"> 條文修正對照表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72"/>
    <w:rsid w:val="000071C1"/>
    <w:rsid w:val="00027544"/>
    <w:rsid w:val="00053312"/>
    <w:rsid w:val="000748AD"/>
    <w:rsid w:val="000B0BF7"/>
    <w:rsid w:val="000D4FC0"/>
    <w:rsid w:val="000F731C"/>
    <w:rsid w:val="001274DA"/>
    <w:rsid w:val="00135A1E"/>
    <w:rsid w:val="00164ED3"/>
    <w:rsid w:val="00167DC1"/>
    <w:rsid w:val="00192337"/>
    <w:rsid w:val="00192E87"/>
    <w:rsid w:val="001A1BFF"/>
    <w:rsid w:val="00200722"/>
    <w:rsid w:val="0020778B"/>
    <w:rsid w:val="00225242"/>
    <w:rsid w:val="002550C1"/>
    <w:rsid w:val="00256B10"/>
    <w:rsid w:val="002E3D0D"/>
    <w:rsid w:val="002F450E"/>
    <w:rsid w:val="002F5E4C"/>
    <w:rsid w:val="002F7DB7"/>
    <w:rsid w:val="00310069"/>
    <w:rsid w:val="003173FA"/>
    <w:rsid w:val="003805CF"/>
    <w:rsid w:val="003A0F4A"/>
    <w:rsid w:val="003B327F"/>
    <w:rsid w:val="003D5628"/>
    <w:rsid w:val="003D7101"/>
    <w:rsid w:val="004151AD"/>
    <w:rsid w:val="004619A5"/>
    <w:rsid w:val="004806F4"/>
    <w:rsid w:val="004818CB"/>
    <w:rsid w:val="0048753C"/>
    <w:rsid w:val="004C212F"/>
    <w:rsid w:val="004D155A"/>
    <w:rsid w:val="005066CE"/>
    <w:rsid w:val="00506E5C"/>
    <w:rsid w:val="00511639"/>
    <w:rsid w:val="00524247"/>
    <w:rsid w:val="005B0FBA"/>
    <w:rsid w:val="005C4470"/>
    <w:rsid w:val="005D138E"/>
    <w:rsid w:val="005E16BC"/>
    <w:rsid w:val="005F0F1C"/>
    <w:rsid w:val="00615C97"/>
    <w:rsid w:val="00634F46"/>
    <w:rsid w:val="00643B03"/>
    <w:rsid w:val="00651CA5"/>
    <w:rsid w:val="00662619"/>
    <w:rsid w:val="00696A27"/>
    <w:rsid w:val="006E4B95"/>
    <w:rsid w:val="006F0925"/>
    <w:rsid w:val="006F2556"/>
    <w:rsid w:val="00715D5B"/>
    <w:rsid w:val="0077112A"/>
    <w:rsid w:val="00776461"/>
    <w:rsid w:val="007D50A8"/>
    <w:rsid w:val="00844808"/>
    <w:rsid w:val="00851A60"/>
    <w:rsid w:val="008A4FA1"/>
    <w:rsid w:val="008B779C"/>
    <w:rsid w:val="008C3760"/>
    <w:rsid w:val="008C4194"/>
    <w:rsid w:val="008D7BB9"/>
    <w:rsid w:val="00923274"/>
    <w:rsid w:val="0094604C"/>
    <w:rsid w:val="00966F80"/>
    <w:rsid w:val="009A5DF1"/>
    <w:rsid w:val="009B1592"/>
    <w:rsid w:val="009C49A3"/>
    <w:rsid w:val="009D2156"/>
    <w:rsid w:val="009E1FC6"/>
    <w:rsid w:val="009E1FFE"/>
    <w:rsid w:val="00A3280C"/>
    <w:rsid w:val="00A3365F"/>
    <w:rsid w:val="00A35ECA"/>
    <w:rsid w:val="00A548B0"/>
    <w:rsid w:val="00A554E6"/>
    <w:rsid w:val="00A5705F"/>
    <w:rsid w:val="00A66B7E"/>
    <w:rsid w:val="00A735C3"/>
    <w:rsid w:val="00A82226"/>
    <w:rsid w:val="00A94B32"/>
    <w:rsid w:val="00AB33A0"/>
    <w:rsid w:val="00AC00C8"/>
    <w:rsid w:val="00AE5CF0"/>
    <w:rsid w:val="00AF4040"/>
    <w:rsid w:val="00B037B4"/>
    <w:rsid w:val="00B30665"/>
    <w:rsid w:val="00B76709"/>
    <w:rsid w:val="00B9447D"/>
    <w:rsid w:val="00BA1345"/>
    <w:rsid w:val="00C03995"/>
    <w:rsid w:val="00C24C3C"/>
    <w:rsid w:val="00C31D2C"/>
    <w:rsid w:val="00C366B9"/>
    <w:rsid w:val="00CF7D1C"/>
    <w:rsid w:val="00D9065A"/>
    <w:rsid w:val="00DD209B"/>
    <w:rsid w:val="00E27B6D"/>
    <w:rsid w:val="00E752DF"/>
    <w:rsid w:val="00EA24AE"/>
    <w:rsid w:val="00EB77FD"/>
    <w:rsid w:val="00EE3EBB"/>
    <w:rsid w:val="00EF0DFC"/>
    <w:rsid w:val="00F0783D"/>
    <w:rsid w:val="00F13072"/>
    <w:rsid w:val="00F36F7F"/>
    <w:rsid w:val="00F52DC9"/>
    <w:rsid w:val="00F7026D"/>
    <w:rsid w:val="00F85F4C"/>
    <w:rsid w:val="00FD25B9"/>
    <w:rsid w:val="00FE17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3761"/>
  <w15:docId w15:val="{21F8E206-59FD-43E5-90F3-710164D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1"/>
    <w:qFormat/>
    <w:rsid w:val="00F13072"/>
    <w:pPr>
      <w:ind w:left="112"/>
      <w:outlineLvl w:val="1"/>
    </w:pPr>
    <w:rPr>
      <w:rFonts w:ascii="標楷體" w:eastAsia="標楷體" w:hAnsi="標楷體"/>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3072"/>
    <w:pPr>
      <w:tabs>
        <w:tab w:val="center" w:pos="4153"/>
        <w:tab w:val="right" w:pos="8306"/>
      </w:tabs>
      <w:snapToGrid w:val="0"/>
    </w:pPr>
    <w:rPr>
      <w:sz w:val="20"/>
      <w:szCs w:val="20"/>
    </w:rPr>
  </w:style>
  <w:style w:type="character" w:customStyle="1" w:styleId="a5">
    <w:name w:val="頁首 字元"/>
    <w:basedOn w:val="a0"/>
    <w:link w:val="a4"/>
    <w:uiPriority w:val="99"/>
    <w:rsid w:val="00F13072"/>
    <w:rPr>
      <w:sz w:val="20"/>
      <w:szCs w:val="20"/>
    </w:rPr>
  </w:style>
  <w:style w:type="paragraph" w:styleId="a6">
    <w:name w:val="footer"/>
    <w:basedOn w:val="a"/>
    <w:link w:val="a7"/>
    <w:uiPriority w:val="99"/>
    <w:unhideWhenUsed/>
    <w:rsid w:val="00F13072"/>
    <w:pPr>
      <w:tabs>
        <w:tab w:val="center" w:pos="4153"/>
        <w:tab w:val="right" w:pos="8306"/>
      </w:tabs>
      <w:snapToGrid w:val="0"/>
    </w:pPr>
    <w:rPr>
      <w:sz w:val="20"/>
      <w:szCs w:val="20"/>
    </w:rPr>
  </w:style>
  <w:style w:type="character" w:customStyle="1" w:styleId="a7">
    <w:name w:val="頁尾 字元"/>
    <w:basedOn w:val="a0"/>
    <w:link w:val="a6"/>
    <w:uiPriority w:val="99"/>
    <w:rsid w:val="00F13072"/>
    <w:rPr>
      <w:sz w:val="20"/>
      <w:szCs w:val="20"/>
    </w:rPr>
  </w:style>
  <w:style w:type="character" w:customStyle="1" w:styleId="20">
    <w:name w:val="標題 2 字元"/>
    <w:basedOn w:val="a0"/>
    <w:link w:val="2"/>
    <w:uiPriority w:val="1"/>
    <w:rsid w:val="00F13072"/>
    <w:rPr>
      <w:rFonts w:ascii="標楷體" w:eastAsia="標楷體" w:hAnsi="標楷體"/>
      <w:b/>
      <w:bCs/>
      <w:kern w:val="0"/>
      <w:sz w:val="32"/>
      <w:szCs w:val="32"/>
      <w:lang w:eastAsia="en-US"/>
    </w:rPr>
  </w:style>
  <w:style w:type="paragraph" w:styleId="a8">
    <w:name w:val="Balloon Text"/>
    <w:basedOn w:val="a"/>
    <w:link w:val="a9"/>
    <w:uiPriority w:val="99"/>
    <w:semiHidden/>
    <w:unhideWhenUsed/>
    <w:rsid w:val="002252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52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0915-1E73-4456-9FBE-D8C146B8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杜佳臻 JiajhenTU (Yuanta)</dc:creator>
  <cp:lastModifiedBy>謝美惠</cp:lastModifiedBy>
  <cp:revision>151</cp:revision>
  <cp:lastPrinted>2020-08-18T03:38:00Z</cp:lastPrinted>
  <dcterms:created xsi:type="dcterms:W3CDTF">2021-04-09T05:44:00Z</dcterms:created>
  <dcterms:modified xsi:type="dcterms:W3CDTF">2021-04-22T10:03:00Z</dcterms:modified>
</cp:coreProperties>
</file>