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7EA" w:rsidRPr="00A257EA" w:rsidRDefault="00A257EA" w:rsidP="00A257EA">
      <w:pPr>
        <w:jc w:val="center"/>
        <w:rPr>
          <w:rFonts w:ascii="微軟正黑體" w:eastAsia="微軟正黑體" w:hAnsi="微軟正黑體" w:cs="DFYuanStd-W5"/>
          <w:b/>
          <w:color w:val="FFFFFF" w:themeColor="background1"/>
          <w:kern w:val="0"/>
          <w:sz w:val="27"/>
          <w:szCs w:val="27"/>
          <w:highlight w:val="blue"/>
        </w:rPr>
      </w:pPr>
      <w:r w:rsidRPr="00A257EA">
        <w:rPr>
          <w:rFonts w:ascii="微軟正黑體" w:eastAsia="微軟正黑體" w:hAnsi="微軟正黑體" w:cs="DFYuanStd-W5" w:hint="eastAsia"/>
          <w:b/>
          <w:color w:val="FFFFFF" w:themeColor="background1"/>
          <w:kern w:val="0"/>
          <w:sz w:val="27"/>
          <w:szCs w:val="27"/>
          <w:highlight w:val="blue"/>
        </w:rPr>
        <w:t>「期貨業辦理低風險客戶防制洗錢及打擊資恐作業簡化措施之實務參考做法」及「期貨業辨識實質受益人實務參考做法」</w:t>
      </w:r>
    </w:p>
    <w:p w:rsidR="00A257EA" w:rsidRDefault="00A257EA" w:rsidP="00A257EA">
      <w:pPr>
        <w:jc w:val="right"/>
        <w:rPr>
          <w:rFonts w:ascii="微軟正黑體" w:eastAsia="微軟正黑體" w:hAnsi="微軟正黑體"/>
          <w:szCs w:val="24"/>
        </w:rPr>
      </w:pPr>
    </w:p>
    <w:p w:rsidR="00A257EA" w:rsidRPr="00526F35" w:rsidRDefault="00A257EA" w:rsidP="00A257EA">
      <w:pPr>
        <w:jc w:val="right"/>
        <w:rPr>
          <w:rFonts w:ascii="微軟正黑體" w:eastAsia="微軟正黑體" w:hAnsi="微軟正黑體"/>
          <w:szCs w:val="24"/>
        </w:rPr>
      </w:pPr>
      <w:r w:rsidRPr="00526F35">
        <w:rPr>
          <w:rFonts w:ascii="微軟正黑體" w:eastAsia="微軟正黑體" w:hAnsi="微軟正黑體" w:hint="eastAsia"/>
          <w:szCs w:val="24"/>
        </w:rPr>
        <w:t>109年</w:t>
      </w:r>
      <w:r>
        <w:rPr>
          <w:rFonts w:ascii="微軟正黑體" w:eastAsia="微軟正黑體" w:hAnsi="微軟正黑體" w:hint="eastAsia"/>
          <w:szCs w:val="24"/>
        </w:rPr>
        <w:t>12</w:t>
      </w:r>
      <w:r w:rsidRPr="00526F35">
        <w:rPr>
          <w:rFonts w:ascii="微軟正黑體" w:eastAsia="微軟正黑體" w:hAnsi="微軟正黑體" w:hint="eastAsia"/>
          <w:szCs w:val="24"/>
        </w:rPr>
        <w:t>月刊會訊報導</w:t>
      </w:r>
    </w:p>
    <w:p w:rsidR="00A257EA" w:rsidRPr="00A257EA" w:rsidRDefault="00A257EA" w:rsidP="00A257EA">
      <w:pPr>
        <w:autoSpaceDE w:val="0"/>
        <w:autoSpaceDN w:val="0"/>
        <w:spacing w:beforeLines="50" w:before="180" w:line="360" w:lineRule="exact"/>
        <w:rPr>
          <w:rFonts w:ascii="微軟正黑體" w:eastAsia="微軟正黑體" w:hAnsi="微軟正黑體" w:cs="DFYuanStd-W3" w:hint="eastAsia"/>
          <w:kern w:val="0"/>
          <w:szCs w:val="24"/>
        </w:rPr>
      </w:pPr>
      <w:r w:rsidRPr="00A257EA">
        <w:rPr>
          <w:rFonts w:ascii="微軟正黑體" w:eastAsia="微軟正黑體" w:hAnsi="微軟正黑體" w:cs="DFYuanStd-W3" w:hint="eastAsia"/>
          <w:kern w:val="0"/>
          <w:szCs w:val="24"/>
        </w:rPr>
        <w:t>為協助期貨業落實執行防制洗錢及打擊資恐（AML/CFT）相關作業，本公會訂定「期貨業辦理低風險客戶防制洗錢及打擊資恐作業簡化措施之實務參考做法」及「期貨業辨識實質受益人實務參考做法」，業經金融監督管理委員會同意備查。本公會於109年11月19日函送全體會員公司（中期商字第1090004780號函）並公告於官網-防制洗錢專區，上述參考做作法非屬本公會之自律規範，不具有實質拘束力。</w:t>
      </w:r>
    </w:p>
    <w:p w:rsidR="00A257EA" w:rsidRPr="00A257EA" w:rsidRDefault="00A257EA" w:rsidP="00A257EA">
      <w:pPr>
        <w:autoSpaceDE w:val="0"/>
        <w:autoSpaceDN w:val="0"/>
        <w:spacing w:beforeLines="50" w:before="180" w:line="360" w:lineRule="exact"/>
        <w:rPr>
          <w:rFonts w:ascii="微軟正黑體" w:eastAsia="微軟正黑體" w:hAnsi="微軟正黑體" w:cs="DFYuanStd-W3"/>
          <w:b/>
          <w:kern w:val="0"/>
          <w:szCs w:val="24"/>
        </w:rPr>
      </w:pPr>
      <w:r w:rsidRPr="00A257EA">
        <w:rPr>
          <w:rFonts w:ascii="微軟正黑體" w:eastAsia="微軟正黑體" w:hAnsi="微軟正黑體" w:cs="DFYuanStd-W3" w:hint="eastAsia"/>
          <w:b/>
          <w:kern w:val="0"/>
          <w:szCs w:val="24"/>
        </w:rPr>
        <w:t>「期貨業辦理低風險客戶防制洗錢及打擊資恐作業簡化措施之實務參考做法」</w:t>
      </w:r>
    </w:p>
    <w:p w:rsidR="00A257EA" w:rsidRPr="00A257EA" w:rsidRDefault="00A257EA" w:rsidP="00A257EA">
      <w:pPr>
        <w:autoSpaceDE w:val="0"/>
        <w:autoSpaceDN w:val="0"/>
        <w:spacing w:beforeLines="50" w:before="180" w:line="360" w:lineRule="exact"/>
        <w:rPr>
          <w:rFonts w:ascii="微軟正黑體" w:eastAsia="微軟正黑體" w:hAnsi="微軟正黑體" w:cs="DFYuanStd-W3" w:hint="eastAsia"/>
          <w:kern w:val="0"/>
          <w:szCs w:val="24"/>
        </w:rPr>
      </w:pPr>
      <w:r w:rsidRPr="00A257EA">
        <w:rPr>
          <w:rFonts w:ascii="微軟正黑體" w:eastAsia="微軟正黑體" w:hAnsi="微軟正黑體" w:cs="DFYuanStd-W3" w:hint="eastAsia"/>
          <w:kern w:val="0"/>
          <w:szCs w:val="24"/>
        </w:rPr>
        <w:t>期貨業運用風險基礎方法發展防制與抵減措施，並可依據各公司的風險防制政策及程序採取簡化措施。依據風險基礎方法精神，各公司在符合現行AML/CFT相關規範下，得按照個別公司業務特性、風險程度及集團政策，訂定得採取簡化或差異化措施之情形與做法。</w:t>
      </w:r>
    </w:p>
    <w:p w:rsidR="00A257EA" w:rsidRPr="00A257EA" w:rsidRDefault="00A257EA" w:rsidP="00A257EA">
      <w:pPr>
        <w:autoSpaceDE w:val="0"/>
        <w:autoSpaceDN w:val="0"/>
        <w:spacing w:beforeLines="50" w:before="180" w:line="360" w:lineRule="exact"/>
        <w:rPr>
          <w:rFonts w:ascii="微軟正黑體" w:eastAsia="微軟正黑體" w:hAnsi="微軟正黑體" w:cs="DFYuanStd-W3" w:hint="eastAsia"/>
          <w:kern w:val="0"/>
          <w:szCs w:val="24"/>
        </w:rPr>
      </w:pPr>
      <w:r w:rsidRPr="00A257EA">
        <w:rPr>
          <w:rFonts w:ascii="微軟正黑體" w:eastAsia="微軟正黑體" w:hAnsi="微軟正黑體" w:cs="DFYuanStd-W3" w:hint="eastAsia"/>
          <w:kern w:val="0"/>
          <w:szCs w:val="24"/>
        </w:rPr>
        <w:t>本文件係辦理AML/CFT各項作業中，對低風險客戶或交易得採取簡化措施、或對不同風險等級客戶得採取差異化措施之實務參考與做法。各公司得視內部政策評估是否減少向客戶詢問交易目的或資金來源等資訊，以同時兼顧客戶權益、服務及執行洗錢防制措施。</w:t>
      </w:r>
    </w:p>
    <w:p w:rsidR="00A257EA" w:rsidRPr="00A257EA" w:rsidRDefault="00A257EA" w:rsidP="00A257EA">
      <w:pPr>
        <w:autoSpaceDE w:val="0"/>
        <w:autoSpaceDN w:val="0"/>
        <w:spacing w:beforeLines="50" w:before="180" w:line="360" w:lineRule="exact"/>
        <w:rPr>
          <w:rFonts w:ascii="微軟正黑體" w:eastAsia="微軟正黑體" w:hAnsi="微軟正黑體" w:cs="DFYuanStd-W3" w:hint="eastAsia"/>
          <w:b/>
          <w:kern w:val="0"/>
          <w:szCs w:val="24"/>
        </w:rPr>
      </w:pPr>
      <w:r w:rsidRPr="00A257EA">
        <w:rPr>
          <w:rFonts w:ascii="微軟正黑體" w:eastAsia="微軟正黑體" w:hAnsi="微軟正黑體" w:cs="DFYuanStd-W3" w:hint="eastAsia"/>
          <w:b/>
          <w:kern w:val="0"/>
          <w:szCs w:val="24"/>
        </w:rPr>
        <w:t>「期貨業辨識實質受益人實務參考做法」</w:t>
      </w:r>
      <w:bookmarkStart w:id="0" w:name="_GoBack"/>
      <w:bookmarkEnd w:id="0"/>
    </w:p>
    <w:p w:rsidR="00A257EA" w:rsidRDefault="00A257EA" w:rsidP="00A257EA">
      <w:pPr>
        <w:autoSpaceDE w:val="0"/>
        <w:autoSpaceDN w:val="0"/>
        <w:spacing w:beforeLines="50" w:before="180" w:line="360" w:lineRule="exact"/>
        <w:rPr>
          <w:rFonts w:ascii="微軟正黑體" w:eastAsia="微軟正黑體" w:hAnsi="微軟正黑體" w:cs="DFYuanStd-W3"/>
          <w:kern w:val="0"/>
          <w:szCs w:val="24"/>
        </w:rPr>
      </w:pPr>
      <w:r w:rsidRPr="00A257EA">
        <w:rPr>
          <w:rFonts w:ascii="微軟正黑體" w:eastAsia="微軟正黑體" w:hAnsi="微軟正黑體" w:cs="DFYuanStd-W3" w:hint="eastAsia"/>
          <w:kern w:val="0"/>
          <w:szCs w:val="24"/>
        </w:rPr>
        <w:t>全球金融犯罪常透過設立法人或法律協議，及以複雜架構控制該法人或法律協議之方式，隱藏具控制權人之真實身分，進行不法之犯罪或洗錢活動，故提升法人及法律協議實質受益人之透明度，對增進AML/CFT之有效性具重要意義本文件係提供實質受益人辨識實務與做法供期貨業參考，內容包括：依據現行規定訂定審查實質受益人身分時機及適用對象、得訂定例外管理之情形；辨識實質受益人之程序；辦理持續審查時之資訊更新方式；依風險基礎方法訂定特定高風險情形之強化措施；依常見客戶類型說明辨識實質受益人之參考做法等。各公司仍應考量自身業務性質、風險程度及集團政策，訂定相關審查措施</w:t>
      </w:r>
      <w:r w:rsidRPr="00E563A1">
        <w:rPr>
          <w:rFonts w:ascii="微軟正黑體" w:eastAsia="微軟正黑體" w:hAnsi="微軟正黑體" w:cs="DFYuanStd-W3" w:hint="eastAsia"/>
          <w:kern w:val="0"/>
          <w:szCs w:val="24"/>
        </w:rPr>
        <w:t>。</w:t>
      </w:r>
    </w:p>
    <w:p w:rsidR="00A257EA" w:rsidRDefault="00A257EA">
      <w:pPr>
        <w:widowControl/>
        <w:rPr>
          <w:rFonts w:ascii="微軟正黑體" w:eastAsia="微軟正黑體" w:hAnsi="微軟正黑體" w:cs="DFYuanStd-W3"/>
          <w:kern w:val="0"/>
          <w:szCs w:val="24"/>
        </w:rPr>
      </w:pPr>
      <w:r>
        <w:rPr>
          <w:rFonts w:ascii="微軟正黑體" w:eastAsia="微軟正黑體" w:hAnsi="微軟正黑體" w:cs="DFYuanStd-W3"/>
          <w:kern w:val="0"/>
          <w:szCs w:val="24"/>
        </w:rPr>
        <w:br w:type="page"/>
      </w:r>
    </w:p>
    <w:p w:rsidR="00526F35" w:rsidRDefault="004A00CF" w:rsidP="00526F35">
      <w:pPr>
        <w:jc w:val="center"/>
        <w:rPr>
          <w:rFonts w:ascii="微軟正黑體" w:eastAsia="微軟正黑體" w:hAnsi="微軟正黑體" w:cs="DFYuanStd-W5"/>
          <w:b/>
          <w:color w:val="FFFFFF" w:themeColor="background1"/>
          <w:kern w:val="0"/>
          <w:sz w:val="27"/>
          <w:szCs w:val="27"/>
          <w:highlight w:val="blue"/>
        </w:rPr>
      </w:pPr>
      <w:r w:rsidRPr="00526F35">
        <w:rPr>
          <w:rFonts w:ascii="微軟正黑體" w:eastAsia="微軟正黑體" w:hAnsi="微軟正黑體" w:cs="DFYuanStd-W5" w:hint="eastAsia"/>
          <w:b/>
          <w:color w:val="FFFFFF" w:themeColor="background1"/>
          <w:kern w:val="0"/>
          <w:sz w:val="27"/>
          <w:szCs w:val="27"/>
          <w:highlight w:val="blue"/>
        </w:rPr>
        <w:lastRenderedPageBreak/>
        <w:t>「</w:t>
      </w:r>
      <w:r w:rsidR="00526F35" w:rsidRPr="00526F35">
        <w:rPr>
          <w:rFonts w:ascii="微軟正黑體" w:eastAsia="微軟正黑體" w:hAnsi="微軟正黑體" w:cs="DFYuanStd-W5" w:hint="eastAsia"/>
          <w:b/>
          <w:color w:val="FFFFFF" w:themeColor="background1"/>
          <w:kern w:val="0"/>
          <w:sz w:val="27"/>
          <w:szCs w:val="27"/>
          <w:highlight w:val="blue"/>
        </w:rPr>
        <w:t>洗錢防制與打擊資恐（AML/CFT）法令解析及案例說明會」</w:t>
      </w:r>
    </w:p>
    <w:p w:rsidR="00526F35" w:rsidRPr="00336135" w:rsidRDefault="00526F35" w:rsidP="00526F35">
      <w:pPr>
        <w:jc w:val="center"/>
        <w:rPr>
          <w:rFonts w:ascii="微軟正黑體" w:eastAsia="微軟正黑體" w:hAnsi="微軟正黑體" w:cs="DFYuanStd-W5"/>
          <w:b/>
          <w:color w:val="FFFFFF" w:themeColor="background1"/>
          <w:kern w:val="0"/>
          <w:sz w:val="27"/>
          <w:szCs w:val="27"/>
        </w:rPr>
      </w:pPr>
      <w:r w:rsidRPr="00526F35">
        <w:rPr>
          <w:rFonts w:ascii="微軟正黑體" w:eastAsia="微軟正黑體" w:hAnsi="微軟正黑體" w:cs="DFYuanStd-W5" w:hint="eastAsia"/>
          <w:b/>
          <w:color w:val="FFFFFF" w:themeColor="background1"/>
          <w:kern w:val="0"/>
          <w:sz w:val="27"/>
          <w:szCs w:val="27"/>
          <w:highlight w:val="blue"/>
        </w:rPr>
        <w:t>摘要報導</w:t>
      </w:r>
    </w:p>
    <w:p w:rsidR="004A00CF" w:rsidRPr="00526F35" w:rsidRDefault="004A00CF" w:rsidP="004A00CF">
      <w:pPr>
        <w:jc w:val="center"/>
        <w:rPr>
          <w:rFonts w:ascii="微軟正黑體" w:eastAsia="微軟正黑體" w:hAnsi="微軟正黑體" w:cs="DFYuanStd-W5"/>
          <w:b/>
          <w:color w:val="FFFFFF" w:themeColor="background1"/>
          <w:kern w:val="0"/>
          <w:sz w:val="27"/>
          <w:szCs w:val="27"/>
          <w:highlight w:val="blue"/>
        </w:rPr>
      </w:pPr>
    </w:p>
    <w:p w:rsidR="004A00CF" w:rsidRPr="00526F35" w:rsidRDefault="004A00CF" w:rsidP="004A00CF">
      <w:pPr>
        <w:jc w:val="right"/>
        <w:rPr>
          <w:rFonts w:ascii="微軟正黑體" w:eastAsia="微軟正黑體" w:hAnsi="微軟正黑體"/>
          <w:szCs w:val="24"/>
        </w:rPr>
      </w:pPr>
      <w:r w:rsidRPr="00526F35">
        <w:rPr>
          <w:rFonts w:ascii="微軟正黑體" w:eastAsia="微軟正黑體" w:hAnsi="微軟正黑體" w:hint="eastAsia"/>
          <w:szCs w:val="24"/>
        </w:rPr>
        <w:t>10</w:t>
      </w:r>
      <w:r w:rsidR="00526F35" w:rsidRPr="00526F35">
        <w:rPr>
          <w:rFonts w:ascii="微軟正黑體" w:eastAsia="微軟正黑體" w:hAnsi="微軟正黑體" w:hint="eastAsia"/>
          <w:szCs w:val="24"/>
        </w:rPr>
        <w:t>9</w:t>
      </w:r>
      <w:r w:rsidRPr="00526F35">
        <w:rPr>
          <w:rFonts w:ascii="微軟正黑體" w:eastAsia="微軟正黑體" w:hAnsi="微軟正黑體" w:hint="eastAsia"/>
          <w:szCs w:val="24"/>
        </w:rPr>
        <w:t>年</w:t>
      </w:r>
      <w:r w:rsidR="00526F35" w:rsidRPr="00526F35">
        <w:rPr>
          <w:rFonts w:ascii="微軟正黑體" w:eastAsia="微軟正黑體" w:hAnsi="微軟正黑體" w:hint="eastAsia"/>
          <w:szCs w:val="24"/>
        </w:rPr>
        <w:t>9</w:t>
      </w:r>
      <w:r w:rsidRPr="00526F35">
        <w:rPr>
          <w:rFonts w:ascii="微軟正黑體" w:eastAsia="微軟正黑體" w:hAnsi="微軟正黑體" w:hint="eastAsia"/>
          <w:szCs w:val="24"/>
        </w:rPr>
        <w:t>月刊會訊報導</w:t>
      </w:r>
    </w:p>
    <w:p w:rsidR="004A00CF" w:rsidRDefault="00526F35" w:rsidP="004A00CF">
      <w:pPr>
        <w:autoSpaceDE w:val="0"/>
        <w:autoSpaceDN w:val="0"/>
        <w:spacing w:beforeLines="50" w:before="180"/>
        <w:ind w:rightChars="-24" w:right="-58"/>
        <w:jc w:val="center"/>
        <w:rPr>
          <w:rFonts w:ascii="微軟正黑體" w:eastAsia="微軟正黑體" w:hAnsi="微軟正黑體"/>
          <w:szCs w:val="24"/>
        </w:rPr>
      </w:pPr>
      <w:r w:rsidRPr="00526F35">
        <w:rPr>
          <w:rFonts w:ascii="微軟正黑體" w:eastAsia="微軟正黑體" w:hAnsi="微軟正黑體"/>
          <w:noProof/>
          <w:szCs w:val="24"/>
        </w:rPr>
        <w:drawing>
          <wp:inline distT="0" distB="0" distL="0" distR="0">
            <wp:extent cx="5172807" cy="2896880"/>
            <wp:effectExtent l="0" t="0" r="889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06997" cy="2916027"/>
                    </a:xfrm>
                    <a:prstGeom prst="rect">
                      <a:avLst/>
                    </a:prstGeom>
                    <a:noFill/>
                    <a:ln>
                      <a:noFill/>
                    </a:ln>
                  </pic:spPr>
                </pic:pic>
              </a:graphicData>
            </a:graphic>
          </wp:inline>
        </w:drawing>
      </w:r>
    </w:p>
    <w:p w:rsidR="00526F35" w:rsidRPr="00526F35" w:rsidRDefault="00526F35" w:rsidP="00526F35">
      <w:pPr>
        <w:autoSpaceDE w:val="0"/>
        <w:autoSpaceDN w:val="0"/>
        <w:spacing w:beforeLines="50" w:before="180" w:line="360" w:lineRule="exact"/>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為協助業者瞭解洗錢防制與打擊資恐相關規範之落實方向與作為，本公會於北、中、南舉辦三場「洗錢防制與打擊資恐（AML/CFT）法令解析及案例說明會」，邀請檢調專家說明最新趨勢、案例分享及後APG時代之發展與展望，提供業者最新資訊並分享實務經驗，以落實對AML/CFT相關作業之執行，說明會內容精彩豐富，座無虛席、互動熱絡。</w:t>
      </w:r>
    </w:p>
    <w:p w:rsidR="00526F35" w:rsidRPr="00526F35" w:rsidRDefault="00526F35" w:rsidP="00526F35">
      <w:pPr>
        <w:autoSpaceDE w:val="0"/>
        <w:autoSpaceDN w:val="0"/>
        <w:spacing w:beforeLines="50" w:before="180" w:line="360" w:lineRule="exact"/>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首先講師說明臺灣及國際上推動洗錢防制政策，除為了通過國際評鑑、經貿繁榮外，推動「反洗錢、反武擴」更為了嚇阻犯罪、阻斷金流，不法集團每年約有8千多億黑錢要漂白成乾淨的錢，所以金融機構在推動洗錢防制政策扮演重要的角色，從105年修正洗錢防制法至今，在公部門與金融業從業人員配合法規政策執行及宣導之下，講師舉實例說明推動洗錢防制已有相當成效，目前「黑錢」多透過二手車買賣、資源回收業、旅行業、第三方支付、地下通匯、公證人及律師、外島漁民、商複委託及虛擬貨幣等管道洗錢。</w:t>
      </w:r>
    </w:p>
    <w:p w:rsidR="00526F35" w:rsidRPr="00526F35" w:rsidRDefault="00526F35" w:rsidP="00526F35">
      <w:pPr>
        <w:autoSpaceDE w:val="0"/>
        <w:autoSpaceDN w:val="0"/>
        <w:spacing w:beforeLines="50" w:before="180" w:line="360" w:lineRule="exact"/>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APG第三輪相互評鑑報告於108年10月正式全球發布，我國獲得最佳之「一般追蹤等級」。講師說明評鑑結束後，目前洗錢防制辦公室依據評鑑報告所列的缺失事項，邀集各部會持續推動缺失改善，準備於2023年接受小型評鑑團的追蹤評</w:t>
      </w:r>
      <w:r w:rsidRPr="00526F35">
        <w:rPr>
          <w:rFonts w:ascii="微軟正黑體" w:eastAsia="微軟正黑體" w:hAnsi="微軟正黑體" w:cs="DFYuanStd-W3" w:hint="eastAsia"/>
          <w:kern w:val="0"/>
          <w:szCs w:val="24"/>
        </w:rPr>
        <w:lastRenderedPageBreak/>
        <w:t>鑑。講師再次說明APG國際評鑑規範與標準包括FATFRecommendation（FATF 40項建議）與FATF Interpretativenotes（注釋），是具有拘束力且不能違反的，另外FATF提供 Guidance（FATF 指引）與FATF Best Practices（FATF最佳實務）作為參考。評鑑分為技術遵循及效能遵循二面向，本次評鑑有4個主題有缺失需要改善，包括：一、金融/非金融監理；二、金融/非金融機構執行措施；三、法人及實體透明度；四、洗錢犯罪之追訴。</w:t>
      </w:r>
    </w:p>
    <w:p w:rsidR="00526F35" w:rsidRPr="00526F35" w:rsidRDefault="00526F35" w:rsidP="00526F35">
      <w:pPr>
        <w:autoSpaceDE w:val="0"/>
        <w:autoSpaceDN w:val="0"/>
        <w:spacing w:beforeLines="50" w:before="180" w:line="360" w:lineRule="exact"/>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接著，講師就評鑑報告中之缺失與建議改善事項逐一說明，摘要如下：</w:t>
      </w:r>
    </w:p>
    <w:p w:rsidR="00526F35" w:rsidRPr="00526F35" w:rsidRDefault="00526F35" w:rsidP="00526F35">
      <w:pPr>
        <w:autoSpaceDE w:val="0"/>
        <w:autoSpaceDN w:val="0"/>
        <w:spacing w:beforeLines="50" w:before="180" w:line="360" w:lineRule="exact"/>
        <w:ind w:leftChars="1" w:left="482" w:hangingChars="200" w:hanging="480"/>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一、因多數國人習慣上愛用現金，臺灣在毒品、詐欺、組織犯罪與稅務犯罪等風險較高，且地下通匯盛行，監理機關對於收受現金需要加強管理和管制。</w:t>
      </w:r>
    </w:p>
    <w:p w:rsidR="00526F35" w:rsidRPr="00526F35" w:rsidRDefault="00526F35" w:rsidP="00526F35">
      <w:pPr>
        <w:autoSpaceDE w:val="0"/>
        <w:autoSpaceDN w:val="0"/>
        <w:spacing w:beforeLines="50" w:before="180" w:line="360" w:lineRule="exact"/>
        <w:ind w:leftChars="1" w:left="482" w:hangingChars="200" w:hanging="480"/>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二、建議監理機關以風險為本進行監理和檢查（應有主題式的現地檢查）。</w:t>
      </w:r>
    </w:p>
    <w:p w:rsidR="00526F35" w:rsidRPr="00526F35" w:rsidRDefault="00526F35" w:rsidP="00526F35">
      <w:pPr>
        <w:autoSpaceDE w:val="0"/>
        <w:autoSpaceDN w:val="0"/>
        <w:spacing w:beforeLines="50" w:before="180" w:line="360" w:lineRule="exact"/>
        <w:ind w:leftChars="1" w:left="482" w:hangingChars="200" w:hanging="480"/>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三、金融與非金融監理機關間應有資訊共享機制，公部門將跨業別之資訊加以整合後，再分享回饋給各機構，才能有效識別風險。</w:t>
      </w:r>
    </w:p>
    <w:p w:rsidR="00526F35" w:rsidRPr="00526F35" w:rsidRDefault="00526F35" w:rsidP="00526F35">
      <w:pPr>
        <w:autoSpaceDE w:val="0"/>
        <w:autoSpaceDN w:val="0"/>
        <w:spacing w:beforeLines="50" w:before="180" w:line="360" w:lineRule="exact"/>
        <w:ind w:leftChars="1" w:left="482" w:hangingChars="200" w:hanging="480"/>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四、監理機關應有具嚇阻性的處罰。</w:t>
      </w:r>
    </w:p>
    <w:p w:rsidR="00526F35" w:rsidRPr="00526F35" w:rsidRDefault="00526F35" w:rsidP="00526F35">
      <w:pPr>
        <w:autoSpaceDE w:val="0"/>
        <w:autoSpaceDN w:val="0"/>
        <w:spacing w:beforeLines="50" w:before="180" w:line="360" w:lineRule="exact"/>
        <w:ind w:leftChars="1" w:left="482" w:hangingChars="200" w:hanging="480"/>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五、金融機構在客戶盡職審查上，容易過度依賴政府相關公開資訊，而忽略來自客戶端之資訊取得。</w:t>
      </w:r>
    </w:p>
    <w:p w:rsidR="00526F35" w:rsidRPr="00526F35" w:rsidRDefault="00526F35" w:rsidP="00526F35">
      <w:pPr>
        <w:autoSpaceDE w:val="0"/>
        <w:autoSpaceDN w:val="0"/>
        <w:spacing w:beforeLines="50" w:before="180" w:line="360" w:lineRule="exact"/>
        <w:ind w:leftChars="1" w:left="482" w:hangingChars="200" w:hanging="480"/>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六、金融機構申報STR除了提供KYC之資料外，亦需提供其他有助於STR研判之資訊。</w:t>
      </w:r>
    </w:p>
    <w:p w:rsidR="00526F35" w:rsidRPr="00526F35" w:rsidRDefault="00526F35" w:rsidP="00526F35">
      <w:pPr>
        <w:autoSpaceDE w:val="0"/>
        <w:autoSpaceDN w:val="0"/>
        <w:spacing w:beforeLines="50" w:before="180" w:line="360" w:lineRule="exact"/>
        <w:ind w:leftChars="1" w:left="482" w:hangingChars="200" w:hanging="480"/>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七、對於客戶真實性有疑慮時，多採取婉拒交易的作法，可能導致去風險化的不利後果，應對於風險加以檢視與評估。</w:t>
      </w:r>
    </w:p>
    <w:p w:rsidR="00526F35" w:rsidRPr="00526F35" w:rsidRDefault="00526F35" w:rsidP="00526F35">
      <w:pPr>
        <w:autoSpaceDE w:val="0"/>
        <w:autoSpaceDN w:val="0"/>
        <w:spacing w:beforeLines="50" w:before="180" w:line="360" w:lineRule="exact"/>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八、法人/信託透明度之管理密度應大幅提升。</w:t>
      </w:r>
    </w:p>
    <w:p w:rsidR="00685CB6" w:rsidRDefault="00526F35" w:rsidP="00526F35">
      <w:pPr>
        <w:autoSpaceDE w:val="0"/>
        <w:autoSpaceDN w:val="0"/>
        <w:spacing w:beforeLines="50" w:before="180" w:line="360" w:lineRule="exact"/>
        <w:rPr>
          <w:rFonts w:ascii="微軟正黑體" w:eastAsia="微軟正黑體" w:hAnsi="微軟正黑體" w:cs="DFYuanStd-W3"/>
          <w:kern w:val="0"/>
          <w:szCs w:val="24"/>
        </w:rPr>
      </w:pPr>
      <w:r w:rsidRPr="00526F35">
        <w:rPr>
          <w:rFonts w:ascii="微軟正黑體" w:eastAsia="微軟正黑體" w:hAnsi="微軟正黑體" w:cs="DFYuanStd-W3" w:hint="eastAsia"/>
          <w:kern w:val="0"/>
          <w:szCs w:val="24"/>
        </w:rPr>
        <w:t>最後，講師說明反武擴風險評估成為國際新的焦點議題，將科技運用於監理與交易監控，虛擬貨幣是否取代金流活動尚在持續觀察中，提高公私部門合作強度、建置資訊分享與回饋溝通，是未來國際發展趨勢與展望。</w:t>
      </w:r>
    </w:p>
    <w:p w:rsidR="00685CB6" w:rsidRDefault="00685CB6">
      <w:pPr>
        <w:widowControl/>
        <w:rPr>
          <w:rFonts w:ascii="微軟正黑體" w:eastAsia="微軟正黑體" w:hAnsi="微軟正黑體" w:cs="DFYuanStd-W3"/>
          <w:kern w:val="0"/>
          <w:szCs w:val="24"/>
        </w:rPr>
      </w:pPr>
      <w:r>
        <w:rPr>
          <w:rFonts w:ascii="微軟正黑體" w:eastAsia="微軟正黑體" w:hAnsi="微軟正黑體" w:cs="DFYuanStd-W3"/>
          <w:kern w:val="0"/>
          <w:szCs w:val="24"/>
        </w:rPr>
        <w:br w:type="page"/>
      </w:r>
    </w:p>
    <w:p w:rsidR="004A00CF" w:rsidRPr="00E57EEF" w:rsidRDefault="00E563A1" w:rsidP="004A00CF">
      <w:pPr>
        <w:jc w:val="center"/>
        <w:rPr>
          <w:rFonts w:ascii="微軟正黑體" w:eastAsia="微軟正黑體" w:hAnsi="微軟正黑體" w:cs="DFYuanStd-W5"/>
          <w:b/>
          <w:color w:val="FFFFFF" w:themeColor="background1"/>
          <w:kern w:val="0"/>
          <w:sz w:val="27"/>
          <w:szCs w:val="27"/>
          <w:highlight w:val="blue"/>
        </w:rPr>
      </w:pPr>
      <w:r w:rsidRPr="00E563A1">
        <w:rPr>
          <w:rFonts w:ascii="微軟正黑體" w:eastAsia="微軟正黑體" w:hAnsi="微軟正黑體" w:cs="DFYuanStd-W5" w:hint="eastAsia"/>
          <w:b/>
          <w:color w:val="FFFFFF" w:themeColor="background1"/>
          <w:kern w:val="0"/>
          <w:sz w:val="27"/>
          <w:szCs w:val="27"/>
          <w:highlight w:val="blue"/>
        </w:rPr>
        <w:lastRenderedPageBreak/>
        <w:t>修正「期貨業防制洗錢及打擊資恐相關規定問答集」</w:t>
      </w:r>
    </w:p>
    <w:p w:rsidR="00526F35" w:rsidRDefault="00526F35" w:rsidP="004A00CF">
      <w:pPr>
        <w:jc w:val="right"/>
        <w:rPr>
          <w:rFonts w:ascii="微軟正黑體" w:eastAsia="微軟正黑體" w:hAnsi="微軟正黑體"/>
          <w:szCs w:val="24"/>
        </w:rPr>
      </w:pPr>
    </w:p>
    <w:p w:rsidR="004A00CF" w:rsidRPr="00526F35" w:rsidRDefault="004A00CF" w:rsidP="004A00CF">
      <w:pPr>
        <w:jc w:val="right"/>
        <w:rPr>
          <w:rFonts w:ascii="微軟正黑體" w:eastAsia="微軟正黑體" w:hAnsi="微軟正黑體"/>
          <w:szCs w:val="24"/>
        </w:rPr>
      </w:pPr>
      <w:r w:rsidRPr="00526F35">
        <w:rPr>
          <w:rFonts w:ascii="微軟正黑體" w:eastAsia="微軟正黑體" w:hAnsi="微軟正黑體" w:hint="eastAsia"/>
          <w:szCs w:val="24"/>
        </w:rPr>
        <w:t>10</w:t>
      </w:r>
      <w:r w:rsidR="00E563A1" w:rsidRPr="00526F35">
        <w:rPr>
          <w:rFonts w:ascii="微軟正黑體" w:eastAsia="微軟正黑體" w:hAnsi="微軟正黑體" w:hint="eastAsia"/>
          <w:szCs w:val="24"/>
        </w:rPr>
        <w:t>9</w:t>
      </w:r>
      <w:r w:rsidRPr="00526F35">
        <w:rPr>
          <w:rFonts w:ascii="微軟正黑體" w:eastAsia="微軟正黑體" w:hAnsi="微軟正黑體" w:hint="eastAsia"/>
          <w:szCs w:val="24"/>
        </w:rPr>
        <w:t>年</w:t>
      </w:r>
      <w:r w:rsidR="00E563A1" w:rsidRPr="00526F35">
        <w:rPr>
          <w:rFonts w:ascii="微軟正黑體" w:eastAsia="微軟正黑體" w:hAnsi="微軟正黑體" w:hint="eastAsia"/>
          <w:szCs w:val="24"/>
        </w:rPr>
        <w:t>7</w:t>
      </w:r>
      <w:r w:rsidRPr="00526F35">
        <w:rPr>
          <w:rFonts w:ascii="微軟正黑體" w:eastAsia="微軟正黑體" w:hAnsi="微軟正黑體" w:hint="eastAsia"/>
          <w:szCs w:val="24"/>
        </w:rPr>
        <w:t>月刊會訊報導</w:t>
      </w:r>
    </w:p>
    <w:p w:rsidR="004A00CF" w:rsidRPr="00E57EEF" w:rsidRDefault="00E563A1" w:rsidP="00E563A1">
      <w:pPr>
        <w:autoSpaceDE w:val="0"/>
        <w:autoSpaceDN w:val="0"/>
        <w:spacing w:beforeLines="50" w:before="180" w:line="360" w:lineRule="exact"/>
        <w:rPr>
          <w:rFonts w:ascii="微軟正黑體" w:eastAsia="微軟正黑體" w:hAnsi="微軟正黑體" w:cs="DFYuanStd-W3"/>
          <w:kern w:val="0"/>
          <w:szCs w:val="24"/>
        </w:rPr>
      </w:pPr>
      <w:r w:rsidRPr="00E563A1">
        <w:rPr>
          <w:rFonts w:ascii="微軟正黑體" w:eastAsia="微軟正黑體" w:hAnsi="微軟正黑體" w:cs="DFYuanStd-W3" w:hint="eastAsia"/>
          <w:kern w:val="0"/>
          <w:szCs w:val="24"/>
        </w:rPr>
        <w:t>為落實RBA（風險基礎方法）精神，簡化低風險客戶有權交易人身分之辨識及驗證，本次修正問答集一、金融機構防制洗錢辦法有關確認客戶身分之對象、方式及程序（四）之擬答及相關規定，業經主管機關同意備查，本公會於109年6月5 日函送（中期商字第1090002100號函）各會員公司，並公告於官網「防制洗錢專區」。</w:t>
      </w:r>
    </w:p>
    <w:p w:rsidR="004A00CF" w:rsidRPr="00E57EEF" w:rsidRDefault="00E563A1" w:rsidP="00E563A1">
      <w:pPr>
        <w:autoSpaceDE w:val="0"/>
        <w:autoSpaceDN w:val="0"/>
        <w:spacing w:beforeLines="50" w:before="180" w:line="360" w:lineRule="exact"/>
        <w:rPr>
          <w:rFonts w:ascii="微軟正黑體" w:eastAsia="微軟正黑體" w:hAnsi="微軟正黑體" w:cs="DFYuanStd-W3"/>
          <w:kern w:val="0"/>
          <w:szCs w:val="24"/>
        </w:rPr>
      </w:pPr>
      <w:r w:rsidRPr="00E563A1">
        <w:rPr>
          <w:rFonts w:ascii="微軟正黑體" w:eastAsia="微軟正黑體" w:hAnsi="微軟正黑體" w:cs="DFYuanStd-W3" w:hint="eastAsia"/>
          <w:kern w:val="0"/>
          <w:szCs w:val="24"/>
        </w:rPr>
        <w:t>期貨業須辨識及驗證法人客戶之有權交易人員身分，並保存該身分證明文件影本或予以記錄，如經評估該法人客戶之風險較低，得採簡化措施。例如法人客戶為金融機構或金融機構管理之投資工具等，且沒有交易人員未取得交易授權之疑慮，得無須再對有權交易人員身分辨識及驗證（含姓名檢核）。</w:t>
      </w:r>
    </w:p>
    <w:p w:rsidR="00685CB6" w:rsidRDefault="00685CB6" w:rsidP="004A00CF">
      <w:pPr>
        <w:autoSpaceDE w:val="0"/>
        <w:autoSpaceDN w:val="0"/>
        <w:spacing w:beforeLines="50" w:before="180" w:line="360" w:lineRule="exact"/>
        <w:rPr>
          <w:rFonts w:ascii="微軟正黑體" w:eastAsia="微軟正黑體" w:hAnsi="微軟正黑體" w:cs="DFYuanStd-W3"/>
          <w:kern w:val="0"/>
          <w:szCs w:val="24"/>
        </w:rPr>
      </w:pPr>
    </w:p>
    <w:p w:rsidR="00685CB6" w:rsidRDefault="00685CB6">
      <w:pPr>
        <w:widowControl/>
        <w:rPr>
          <w:rFonts w:ascii="微軟正黑體" w:eastAsia="微軟正黑體" w:hAnsi="微軟正黑體" w:cs="DFYuanStd-W3"/>
          <w:kern w:val="0"/>
          <w:szCs w:val="24"/>
        </w:rPr>
      </w:pPr>
      <w:r>
        <w:rPr>
          <w:rFonts w:ascii="微軟正黑體" w:eastAsia="微軟正黑體" w:hAnsi="微軟正黑體" w:cs="DFYuanStd-W3"/>
          <w:kern w:val="0"/>
          <w:szCs w:val="24"/>
        </w:rPr>
        <w:br w:type="page"/>
      </w:r>
    </w:p>
    <w:p w:rsidR="00A213A2" w:rsidRPr="00A213A2" w:rsidRDefault="00FF6C5C" w:rsidP="00DA3DD5">
      <w:pPr>
        <w:jc w:val="center"/>
        <w:rPr>
          <w:rFonts w:asciiTheme="minorEastAsia" w:hAnsiTheme="minorEastAsia"/>
          <w:szCs w:val="24"/>
        </w:rPr>
      </w:pPr>
      <w:r w:rsidRPr="00FF6C5C">
        <w:rPr>
          <w:rFonts w:ascii="微軟正黑體" w:eastAsia="微軟正黑體" w:hAnsi="微軟正黑體" w:cs="DFYuanStd-W5" w:hint="eastAsia"/>
          <w:b/>
          <w:color w:val="FFFFFF" w:themeColor="background1"/>
          <w:kern w:val="0"/>
          <w:sz w:val="27"/>
          <w:szCs w:val="27"/>
          <w:highlight w:val="blue"/>
        </w:rPr>
        <w:lastRenderedPageBreak/>
        <w:t>修正「期貨商暨槓桿交易商疑似洗錢、資恐或武擴交易態樣」，自109年10月1日起施行</w:t>
      </w:r>
    </w:p>
    <w:p w:rsidR="002C5EE9" w:rsidRPr="00FE5BDA" w:rsidRDefault="005A48CC" w:rsidP="00685CB6">
      <w:pPr>
        <w:jc w:val="right"/>
        <w:rPr>
          <w:rFonts w:ascii="微軟正黑體" w:eastAsia="微軟正黑體" w:hAnsi="微軟正黑體"/>
          <w:szCs w:val="24"/>
        </w:rPr>
      </w:pPr>
      <w:r w:rsidRPr="00FE5BDA">
        <w:rPr>
          <w:rFonts w:ascii="微軟正黑體" w:eastAsia="微軟正黑體" w:hAnsi="微軟正黑體" w:hint="eastAsia"/>
          <w:szCs w:val="24"/>
        </w:rPr>
        <w:t>10</w:t>
      </w:r>
      <w:r w:rsidR="00FF6C5C" w:rsidRPr="00FE5BDA">
        <w:rPr>
          <w:rFonts w:ascii="微軟正黑體" w:eastAsia="微軟正黑體" w:hAnsi="微軟正黑體" w:hint="eastAsia"/>
          <w:szCs w:val="24"/>
        </w:rPr>
        <w:t>9</w:t>
      </w:r>
      <w:r w:rsidR="00A213A2" w:rsidRPr="00FE5BDA">
        <w:rPr>
          <w:rFonts w:ascii="微軟正黑體" w:eastAsia="微軟正黑體" w:hAnsi="微軟正黑體" w:hint="eastAsia"/>
          <w:szCs w:val="24"/>
        </w:rPr>
        <w:t>年</w:t>
      </w:r>
      <w:r w:rsidR="00FF6C5C" w:rsidRPr="00FE5BDA">
        <w:rPr>
          <w:rFonts w:ascii="微軟正黑體" w:eastAsia="微軟正黑體" w:hAnsi="微軟正黑體" w:hint="eastAsia"/>
          <w:szCs w:val="24"/>
        </w:rPr>
        <w:t>3</w:t>
      </w:r>
      <w:r w:rsidR="00A213A2" w:rsidRPr="00FE5BDA">
        <w:rPr>
          <w:rFonts w:ascii="微軟正黑體" w:eastAsia="微軟正黑體" w:hAnsi="微軟正黑體" w:hint="eastAsia"/>
          <w:szCs w:val="24"/>
        </w:rPr>
        <w:t>月刊會訊報導</w:t>
      </w:r>
    </w:p>
    <w:p w:rsidR="00FF6C5C" w:rsidRPr="00FF6C5C" w:rsidRDefault="00FF6C5C" w:rsidP="00FF6C5C">
      <w:pPr>
        <w:autoSpaceDE w:val="0"/>
        <w:autoSpaceDN w:val="0"/>
        <w:spacing w:beforeLines="50" w:before="180" w:line="360" w:lineRule="exact"/>
        <w:rPr>
          <w:rFonts w:ascii="微軟正黑體" w:eastAsia="微軟正黑體" w:hAnsi="微軟正黑體" w:cs="DFYuanStd-W3"/>
          <w:kern w:val="0"/>
          <w:szCs w:val="24"/>
        </w:rPr>
      </w:pPr>
      <w:r w:rsidRPr="00FF6C5C">
        <w:rPr>
          <w:rFonts w:ascii="微軟正黑體" w:eastAsia="微軟正黑體" w:hAnsi="微軟正黑體" w:cs="DFYuanStd-W3" w:hint="eastAsia"/>
          <w:kern w:val="0"/>
          <w:szCs w:val="24"/>
        </w:rPr>
        <w:t>本次係參考防制洗錢金融行動工作組織(FATF)於107年10月26日發布之證券業風險基礎方法指引（Guidance for aRisk-Based Approach－Securities Sector），並參酌檢查局107年度辦理期貨商防制洗錢及打擊資恐作業專案檢查意見、法務部調查局意見及證券商公會等相關內容，修正本公會「期貨商暨槓桿交易商防制洗錢及打擊資恐注意事項」範本之附錄並更名為「期貨商暨槓桿交易商疑似洗錢、資恐或資助武擴交易態樣」，修正後態樣自109年10月1日起施行。</w:t>
      </w:r>
    </w:p>
    <w:p w:rsidR="00FF6C5C" w:rsidRPr="00FF6C5C" w:rsidRDefault="00FF6C5C" w:rsidP="00FF6C5C">
      <w:pPr>
        <w:autoSpaceDE w:val="0"/>
        <w:autoSpaceDN w:val="0"/>
        <w:spacing w:beforeLines="50" w:before="180" w:line="360" w:lineRule="exact"/>
        <w:rPr>
          <w:rFonts w:ascii="微軟正黑體" w:eastAsia="微軟正黑體" w:hAnsi="微軟正黑體" w:cs="DFYuanStd-W3"/>
          <w:kern w:val="0"/>
          <w:szCs w:val="24"/>
        </w:rPr>
      </w:pPr>
      <w:r w:rsidRPr="00FF6C5C">
        <w:rPr>
          <w:rFonts w:ascii="微軟正黑體" w:eastAsia="微軟正黑體" w:hAnsi="微軟正黑體" w:cs="DFYuanStd-W3" w:hint="eastAsia"/>
          <w:kern w:val="0"/>
          <w:szCs w:val="24"/>
        </w:rPr>
        <w:t>本公會於109年1月13日函送全體會員公司（中期商字第1090000043號函）並公告於官網。本次增修訂說明如下：</w:t>
      </w:r>
    </w:p>
    <w:p w:rsidR="00FF6C5C" w:rsidRPr="00FF6C5C" w:rsidRDefault="00FF6C5C" w:rsidP="00FF6C5C">
      <w:pPr>
        <w:autoSpaceDE w:val="0"/>
        <w:autoSpaceDN w:val="0"/>
        <w:spacing w:beforeLines="50" w:before="180" w:line="360" w:lineRule="exact"/>
        <w:rPr>
          <w:rFonts w:ascii="微軟正黑體" w:eastAsia="微軟正黑體" w:hAnsi="微軟正黑體" w:cs="DFYuanStd-W3"/>
          <w:kern w:val="0"/>
          <w:szCs w:val="24"/>
        </w:rPr>
      </w:pPr>
      <w:r w:rsidRPr="00FF6C5C">
        <w:rPr>
          <w:rFonts w:ascii="微軟正黑體" w:eastAsia="微軟正黑體" w:hAnsi="微軟正黑體" w:cs="DFYuanStd-W3" w:hint="eastAsia"/>
          <w:kern w:val="0"/>
          <w:szCs w:val="24"/>
        </w:rPr>
        <w:t>一、與客戶帳戶有關者：</w:t>
      </w:r>
    </w:p>
    <w:p w:rsidR="00FF6C5C" w:rsidRPr="00FF6C5C" w:rsidRDefault="00FF6C5C" w:rsidP="00571FC2">
      <w:pPr>
        <w:autoSpaceDE w:val="0"/>
        <w:autoSpaceDN w:val="0"/>
        <w:spacing w:beforeLines="50" w:before="180" w:line="360" w:lineRule="exact"/>
        <w:ind w:leftChars="177" w:left="953" w:hangingChars="220" w:hanging="528"/>
        <w:rPr>
          <w:rFonts w:ascii="微軟正黑體" w:eastAsia="微軟正黑體" w:hAnsi="微軟正黑體" w:cs="DFYuanStd-W3"/>
          <w:kern w:val="0"/>
          <w:szCs w:val="24"/>
        </w:rPr>
      </w:pPr>
      <w:r w:rsidRPr="00FF6C5C">
        <w:rPr>
          <w:rFonts w:ascii="微軟正黑體" w:eastAsia="微軟正黑體" w:hAnsi="微軟正黑體" w:cs="DFYuanStd-W3" w:hint="eastAsia"/>
          <w:kern w:val="0"/>
          <w:szCs w:val="24"/>
        </w:rPr>
        <w:t>(一) 為落實客戶帳戶之監控作業，防止人頭帳戶，增加不同客戶之帳戶以相同「電子郵件信箱」做為聯絡資料，或「網際網路委託買賣之IP位址均相同」等監控項目，增修訂態樣(三)。</w:t>
      </w:r>
    </w:p>
    <w:p w:rsidR="00466F90" w:rsidRPr="00466F90" w:rsidRDefault="00FF6C5C" w:rsidP="00571FC2">
      <w:pPr>
        <w:autoSpaceDE w:val="0"/>
        <w:autoSpaceDN w:val="0"/>
        <w:spacing w:beforeLines="50" w:before="180" w:line="360" w:lineRule="exact"/>
        <w:ind w:leftChars="177" w:left="953" w:hangingChars="220" w:hanging="528"/>
        <w:rPr>
          <w:rFonts w:ascii="微軟正黑體" w:eastAsia="微軟正黑體" w:hAnsi="微軟正黑體" w:cs="DFYuanStd-W3"/>
          <w:kern w:val="0"/>
          <w:szCs w:val="24"/>
        </w:rPr>
      </w:pPr>
      <w:r w:rsidRPr="00FF6C5C">
        <w:rPr>
          <w:rFonts w:ascii="微軟正黑體" w:eastAsia="微軟正黑體" w:hAnsi="微軟正黑體" w:cs="DFYuanStd-W3" w:hint="eastAsia"/>
          <w:kern w:val="0"/>
          <w:szCs w:val="24"/>
        </w:rPr>
        <w:t>(二) 有關客戶頻繁的變更個人資訊之可疑活動列舉項目，增加「變更銀行帳戶資料」，增修訂態樣(六)。</w:t>
      </w:r>
    </w:p>
    <w:p w:rsidR="00FF6C5C" w:rsidRPr="00FF6C5C" w:rsidRDefault="00FF6C5C" w:rsidP="00571FC2">
      <w:pPr>
        <w:autoSpaceDE w:val="0"/>
        <w:autoSpaceDN w:val="0"/>
        <w:spacing w:beforeLines="50" w:before="180" w:line="360" w:lineRule="exact"/>
        <w:ind w:leftChars="177" w:left="953" w:hangingChars="220" w:hanging="528"/>
        <w:rPr>
          <w:rFonts w:ascii="微軟正黑體" w:eastAsia="微軟正黑體" w:hAnsi="微軟正黑體" w:cs="DFYuanStd-W3"/>
          <w:kern w:val="0"/>
          <w:szCs w:val="24"/>
        </w:rPr>
      </w:pPr>
      <w:r w:rsidRPr="00FF6C5C">
        <w:rPr>
          <w:rFonts w:ascii="微軟正黑體" w:eastAsia="微軟正黑體" w:hAnsi="微軟正黑體" w:cs="DFYuanStd-W3" w:hint="eastAsia"/>
          <w:kern w:val="0"/>
          <w:szCs w:val="24"/>
        </w:rPr>
        <w:t>(三) 增訂進行客戶盡職調查及與客戶互動時發現之可疑事項，新增態樣(十二)「知悉客戶已被其他金融機構拒絕或其客戶身分已被終止」。</w:t>
      </w:r>
    </w:p>
    <w:p w:rsidR="00FF6C5C" w:rsidRPr="00FF6C5C" w:rsidRDefault="00FF6C5C" w:rsidP="00FF6C5C">
      <w:pPr>
        <w:autoSpaceDE w:val="0"/>
        <w:autoSpaceDN w:val="0"/>
        <w:spacing w:beforeLines="50" w:before="180" w:line="360" w:lineRule="exact"/>
        <w:rPr>
          <w:rFonts w:ascii="微軟正黑體" w:eastAsia="微軟正黑體" w:hAnsi="微軟正黑體" w:cs="DFYuanStd-W3"/>
          <w:kern w:val="0"/>
          <w:szCs w:val="24"/>
        </w:rPr>
      </w:pPr>
      <w:r w:rsidRPr="00FF6C5C">
        <w:rPr>
          <w:rFonts w:ascii="微軟正黑體" w:eastAsia="微軟正黑體" w:hAnsi="微軟正黑體" w:cs="DFYuanStd-W3" w:hint="eastAsia"/>
          <w:kern w:val="0"/>
          <w:szCs w:val="24"/>
        </w:rPr>
        <w:t>二、與交易有關者：</w:t>
      </w:r>
    </w:p>
    <w:p w:rsidR="00FF6C5C" w:rsidRPr="00FF6C5C" w:rsidRDefault="00FF6C5C" w:rsidP="00FF6C5C">
      <w:pPr>
        <w:autoSpaceDE w:val="0"/>
        <w:autoSpaceDN w:val="0"/>
        <w:spacing w:beforeLines="50" w:before="180" w:line="360" w:lineRule="exact"/>
        <w:ind w:leftChars="177" w:left="426" w:hanging="1"/>
        <w:rPr>
          <w:rFonts w:ascii="微軟正黑體" w:eastAsia="微軟正黑體" w:hAnsi="微軟正黑體" w:cs="DFYuanStd-W3"/>
          <w:kern w:val="0"/>
          <w:szCs w:val="24"/>
        </w:rPr>
      </w:pPr>
      <w:r w:rsidRPr="00FF6C5C">
        <w:rPr>
          <w:rFonts w:ascii="微軟正黑體" w:eastAsia="微軟正黑體" w:hAnsi="微軟正黑體" w:cs="DFYuanStd-W3" w:hint="eastAsia"/>
          <w:kern w:val="0"/>
          <w:szCs w:val="24"/>
        </w:rPr>
        <w:t>參酌執法部門或監管機構已就客戶或其帳戶發出傳票或凍結函之規定，增訂「知悉客戶疑似涉及特殊重大案件」之監控事項，修訂態樣(一)交易/服務-期貨商之16.及(二)交易/服務-槓桿交易商。</w:t>
      </w:r>
    </w:p>
    <w:p w:rsidR="00FF6C5C" w:rsidRDefault="00FF6C5C" w:rsidP="00FF6C5C">
      <w:pPr>
        <w:autoSpaceDE w:val="0"/>
        <w:autoSpaceDN w:val="0"/>
        <w:spacing w:beforeLines="50" w:before="180" w:line="360" w:lineRule="exact"/>
        <w:rPr>
          <w:rFonts w:ascii="微軟正黑體" w:eastAsia="微軟正黑體" w:hAnsi="微軟正黑體" w:cs="DFYuanStd-W3"/>
          <w:kern w:val="0"/>
          <w:szCs w:val="24"/>
        </w:rPr>
      </w:pPr>
      <w:r w:rsidRPr="00FF6C5C">
        <w:rPr>
          <w:rFonts w:ascii="微軟正黑體" w:eastAsia="微軟正黑體" w:hAnsi="微軟正黑體" w:cs="DFYuanStd-W3" w:hint="eastAsia"/>
          <w:kern w:val="0"/>
          <w:szCs w:val="24"/>
        </w:rPr>
        <w:t>三、與收付/轉帳有關者：</w:t>
      </w:r>
    </w:p>
    <w:p w:rsidR="00FF6C5C" w:rsidRPr="00FF6C5C" w:rsidRDefault="00FF6C5C" w:rsidP="00FF6C5C">
      <w:pPr>
        <w:autoSpaceDE w:val="0"/>
        <w:autoSpaceDN w:val="0"/>
        <w:spacing w:beforeLines="50" w:before="180" w:line="360" w:lineRule="exact"/>
        <w:ind w:leftChars="176" w:left="422" w:firstLine="1"/>
        <w:rPr>
          <w:rFonts w:ascii="微軟正黑體" w:eastAsia="微軟正黑體" w:hAnsi="微軟正黑體" w:cs="DFYuanStd-W3"/>
          <w:kern w:val="0"/>
          <w:szCs w:val="24"/>
        </w:rPr>
      </w:pPr>
      <w:r w:rsidRPr="00FF6C5C">
        <w:rPr>
          <w:rFonts w:ascii="微軟正黑體" w:eastAsia="微軟正黑體" w:hAnsi="微軟正黑體" w:cs="DFYuanStd-W3" w:hint="eastAsia"/>
          <w:kern w:val="0"/>
          <w:szCs w:val="24"/>
        </w:rPr>
        <w:t>修正態樣(三)有關客戶出入金之監控條件，不以開戶或簽約後立即存入達特定金額以上者為限。</w:t>
      </w:r>
    </w:p>
    <w:p w:rsidR="00571FC2" w:rsidRDefault="00FF6C5C" w:rsidP="00FE5BDA">
      <w:pPr>
        <w:autoSpaceDE w:val="0"/>
        <w:autoSpaceDN w:val="0"/>
        <w:spacing w:beforeLines="50" w:before="180" w:line="360" w:lineRule="exact"/>
        <w:ind w:left="425" w:hangingChars="177" w:hanging="425"/>
        <w:rPr>
          <w:rFonts w:ascii="微軟正黑體" w:eastAsia="微軟正黑體" w:hAnsi="微軟正黑體" w:cs="DFYuanStd-W3"/>
          <w:kern w:val="0"/>
          <w:szCs w:val="24"/>
        </w:rPr>
      </w:pPr>
      <w:r w:rsidRPr="00FF6C5C">
        <w:rPr>
          <w:rFonts w:ascii="微軟正黑體" w:eastAsia="微軟正黑體" w:hAnsi="微軟正黑體" w:cs="DFYuanStd-W3" w:hint="eastAsia"/>
          <w:kern w:val="0"/>
          <w:szCs w:val="24"/>
        </w:rPr>
        <w:t>四、為利於疑似洗錢或資恐交易態樣申報作業，強化疑似資恐、資助武擴之辨識，新增「與資恐有關者」及「與武擴有關者」之態樣類別，其態樣(一)至(三)係自修正前態樣「一、與客戶帳戶有關者：(十一)」及「二、與交易有關者：(一)交易/服務-期貨商：16.」移入並酌修部分文字。</w:t>
      </w:r>
    </w:p>
    <w:p w:rsidR="00571FC2" w:rsidRPr="00A213A2" w:rsidRDefault="00571FC2" w:rsidP="00571FC2">
      <w:pPr>
        <w:widowControl/>
        <w:rPr>
          <w:rFonts w:asciiTheme="minorEastAsia" w:hAnsiTheme="minorEastAsia"/>
          <w:szCs w:val="24"/>
        </w:rPr>
      </w:pPr>
      <w:r>
        <w:rPr>
          <w:rFonts w:ascii="微軟正黑體" w:eastAsia="微軟正黑體" w:hAnsi="微軟正黑體" w:cs="DFYuanStd-W3"/>
          <w:kern w:val="0"/>
          <w:szCs w:val="24"/>
        </w:rPr>
        <w:br w:type="page"/>
      </w:r>
      <w:r w:rsidRPr="00571FC2">
        <w:rPr>
          <w:rFonts w:ascii="微軟正黑體" w:eastAsia="微軟正黑體" w:hAnsi="微軟正黑體" w:cs="DFYuanStd-W5" w:hint="eastAsia"/>
          <w:b/>
          <w:color w:val="FFFFFF" w:themeColor="background1"/>
          <w:kern w:val="0"/>
          <w:sz w:val="27"/>
          <w:szCs w:val="27"/>
          <w:highlight w:val="blue"/>
        </w:rPr>
        <w:lastRenderedPageBreak/>
        <w:t>本公會修正期貨信託事業暨期貨經理事業防制洗錢及打擊資恐注意事項範本「附錄疑似洗錢、資恐或武擴交易態樣」</w:t>
      </w:r>
    </w:p>
    <w:p w:rsidR="00526F35" w:rsidRDefault="00526F35" w:rsidP="00571FC2">
      <w:pPr>
        <w:jc w:val="right"/>
        <w:rPr>
          <w:rFonts w:ascii="微軟正黑體" w:eastAsia="微軟正黑體" w:hAnsi="微軟正黑體"/>
          <w:szCs w:val="24"/>
        </w:rPr>
      </w:pPr>
    </w:p>
    <w:p w:rsidR="00571FC2" w:rsidRPr="00571FC2" w:rsidRDefault="00571FC2" w:rsidP="00571FC2">
      <w:pPr>
        <w:jc w:val="right"/>
        <w:rPr>
          <w:rFonts w:ascii="微軟正黑體" w:eastAsia="微軟正黑體" w:hAnsi="微軟正黑體"/>
          <w:szCs w:val="24"/>
        </w:rPr>
      </w:pPr>
      <w:r w:rsidRPr="00571FC2">
        <w:rPr>
          <w:rFonts w:ascii="微軟正黑體" w:eastAsia="微軟正黑體" w:hAnsi="微軟正黑體" w:hint="eastAsia"/>
          <w:szCs w:val="24"/>
        </w:rPr>
        <w:t>109年3月刊會訊報導</w:t>
      </w:r>
    </w:p>
    <w:p w:rsidR="00571FC2" w:rsidRPr="00571FC2" w:rsidRDefault="00571FC2" w:rsidP="00571FC2">
      <w:pPr>
        <w:autoSpaceDE w:val="0"/>
        <w:autoSpaceDN w:val="0"/>
        <w:spacing w:beforeLines="50" w:before="180" w:line="360" w:lineRule="exact"/>
        <w:rPr>
          <w:rFonts w:ascii="微軟正黑體" w:eastAsia="微軟正黑體" w:hAnsi="微軟正黑體" w:cs="DFYuanStd-W3"/>
          <w:kern w:val="0"/>
          <w:szCs w:val="24"/>
        </w:rPr>
      </w:pPr>
      <w:r w:rsidRPr="00571FC2">
        <w:rPr>
          <w:rFonts w:ascii="微軟正黑體" w:eastAsia="微軟正黑體" w:hAnsi="微軟正黑體" w:cs="DFYuanStd-W3" w:hint="eastAsia"/>
          <w:kern w:val="0"/>
          <w:szCs w:val="24"/>
        </w:rPr>
        <w:t>本公會參考防制洗錢金融行動工作組織(FATF)於107年10月26日發布之證券業風險基礎方法指引（Guidance for aRisk-Based Approach－Securities Sector），同時參酌檢查局107 年度辦理期貨商防制洗錢及打擊資恐作業專案檢查意見、法務部調查局意見及證券商公會相關內容，進行本次修正。主要重點為：</w:t>
      </w:r>
    </w:p>
    <w:p w:rsidR="00571FC2" w:rsidRDefault="00571FC2" w:rsidP="00571FC2">
      <w:pPr>
        <w:autoSpaceDE w:val="0"/>
        <w:autoSpaceDN w:val="0"/>
        <w:spacing w:beforeLines="50" w:before="180" w:line="360" w:lineRule="exact"/>
        <w:ind w:leftChars="1" w:left="482" w:hangingChars="200" w:hanging="480"/>
        <w:rPr>
          <w:rFonts w:ascii="微軟正黑體" w:eastAsia="微軟正黑體" w:hAnsi="微軟正黑體" w:cs="DFYuanStd-W3"/>
          <w:kern w:val="0"/>
          <w:szCs w:val="24"/>
        </w:rPr>
      </w:pPr>
      <w:r w:rsidRPr="00571FC2">
        <w:rPr>
          <w:rFonts w:ascii="微軟正黑體" w:eastAsia="微軟正黑體" w:hAnsi="微軟正黑體" w:cs="DFYuanStd-W3" w:hint="eastAsia"/>
          <w:kern w:val="0"/>
          <w:szCs w:val="24"/>
        </w:rPr>
        <w:t>一、修正期貨信託事業暨期貨經理事業「附錄 疑似洗錢或資恐交易態樣」，並更名為「附錄 疑似洗錢、資恐或武擴交易態樣」。</w:t>
      </w:r>
    </w:p>
    <w:p w:rsidR="00571FC2" w:rsidRPr="00571FC2" w:rsidRDefault="00571FC2" w:rsidP="00571FC2">
      <w:pPr>
        <w:autoSpaceDE w:val="0"/>
        <w:autoSpaceDN w:val="0"/>
        <w:spacing w:beforeLines="50" w:before="180" w:line="360" w:lineRule="exact"/>
        <w:ind w:leftChars="1" w:left="482" w:hangingChars="200" w:hanging="480"/>
        <w:rPr>
          <w:rFonts w:ascii="微軟正黑體" w:eastAsia="微軟正黑體" w:hAnsi="微軟正黑體" w:cs="DFYuanStd-W3"/>
          <w:kern w:val="0"/>
          <w:szCs w:val="24"/>
        </w:rPr>
      </w:pPr>
      <w:r w:rsidRPr="00571FC2">
        <w:rPr>
          <w:rFonts w:ascii="微軟正黑體" w:eastAsia="微軟正黑體" w:hAnsi="微軟正黑體" w:cs="DFYuanStd-W3" w:hint="eastAsia"/>
          <w:kern w:val="0"/>
          <w:szCs w:val="24"/>
        </w:rPr>
        <w:t>二、為利強化疑似資恐與資助武擴活動之辨識，於交易態樣類別增列與資恐有關者、與資助武擴有關者兩大類。</w:t>
      </w:r>
    </w:p>
    <w:p w:rsidR="00571FC2" w:rsidRPr="00571FC2" w:rsidRDefault="00571FC2" w:rsidP="00571FC2">
      <w:pPr>
        <w:autoSpaceDE w:val="0"/>
        <w:autoSpaceDN w:val="0"/>
        <w:spacing w:beforeLines="50" w:before="180" w:line="360" w:lineRule="exact"/>
        <w:ind w:leftChars="1" w:left="566" w:hangingChars="235" w:hanging="564"/>
        <w:rPr>
          <w:rFonts w:ascii="微軟正黑體" w:eastAsia="微軟正黑體" w:hAnsi="微軟正黑體" w:cs="DFYuanStd-W3"/>
          <w:kern w:val="0"/>
          <w:szCs w:val="24"/>
        </w:rPr>
      </w:pPr>
      <w:r w:rsidRPr="00571FC2">
        <w:rPr>
          <w:rFonts w:ascii="微軟正黑體" w:eastAsia="微軟正黑體" w:hAnsi="微軟正黑體" w:cs="DFYuanStd-W3" w:hint="eastAsia"/>
          <w:kern w:val="0"/>
          <w:szCs w:val="24"/>
        </w:rPr>
        <w:t>三、參照證券業風險基礎方法指引，檢討部分態樣文字。</w:t>
      </w:r>
    </w:p>
    <w:p w:rsidR="00571FC2" w:rsidRPr="00571FC2" w:rsidRDefault="00571FC2" w:rsidP="00571FC2">
      <w:pPr>
        <w:autoSpaceDE w:val="0"/>
        <w:autoSpaceDN w:val="0"/>
        <w:spacing w:beforeLines="50" w:before="180" w:line="360" w:lineRule="exact"/>
        <w:ind w:leftChars="1" w:left="566" w:hangingChars="235" w:hanging="564"/>
        <w:rPr>
          <w:rFonts w:ascii="微軟正黑體" w:eastAsia="微軟正黑體" w:hAnsi="微軟正黑體" w:cs="DFYuanStd-W3"/>
          <w:kern w:val="0"/>
          <w:szCs w:val="24"/>
        </w:rPr>
      </w:pPr>
      <w:r w:rsidRPr="00571FC2">
        <w:rPr>
          <w:rFonts w:ascii="微軟正黑體" w:eastAsia="微軟正黑體" w:hAnsi="微軟正黑體" w:cs="DFYuanStd-W3" w:hint="eastAsia"/>
          <w:kern w:val="0"/>
          <w:szCs w:val="24"/>
        </w:rPr>
        <w:t>四、將不同客戶帳戶均留存相同通訊方式，納入交易監控態樣作業。</w:t>
      </w:r>
    </w:p>
    <w:p w:rsidR="00C67D5F" w:rsidRPr="00D026B4" w:rsidRDefault="00571FC2" w:rsidP="00571FC2">
      <w:pPr>
        <w:autoSpaceDE w:val="0"/>
        <w:autoSpaceDN w:val="0"/>
        <w:spacing w:beforeLines="50" w:before="180" w:line="360" w:lineRule="exact"/>
        <w:rPr>
          <w:rFonts w:asciiTheme="minorEastAsia" w:hAnsiTheme="minorEastAsia"/>
          <w:szCs w:val="24"/>
        </w:rPr>
      </w:pPr>
      <w:r w:rsidRPr="00571FC2">
        <w:rPr>
          <w:rFonts w:ascii="微軟正黑體" w:eastAsia="微軟正黑體" w:hAnsi="微軟正黑體" w:cs="DFYuanStd-W3" w:hint="eastAsia"/>
          <w:kern w:val="0"/>
          <w:szCs w:val="24"/>
        </w:rPr>
        <w:t>本案修正內容經金融監督管理委員會109年1月3日金管證期字第1080334772號函准予備查，並於109年1月10日中期商字第1090000173號函公告。修正條文請於本公會官網查詢或下載。</w:t>
      </w:r>
    </w:p>
    <w:sectPr w:rsidR="00C67D5F" w:rsidRPr="00D026B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974" w:rsidRDefault="00D75974" w:rsidP="00F0503C">
      <w:r>
        <w:separator/>
      </w:r>
    </w:p>
  </w:endnote>
  <w:endnote w:type="continuationSeparator" w:id="0">
    <w:p w:rsidR="00D75974" w:rsidRDefault="00D75974" w:rsidP="00F05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DFYuanStd-W5">
    <w:altName w:val="Arial Unicode MS"/>
    <w:panose1 w:val="00000000000000000000"/>
    <w:charset w:val="88"/>
    <w:family w:val="auto"/>
    <w:notTrueType/>
    <w:pitch w:val="default"/>
    <w:sig w:usb0="00000001" w:usb1="08080000" w:usb2="00000010" w:usb3="00000000" w:csb0="00100000" w:csb1="00000000"/>
  </w:font>
  <w:font w:name="DFYuanStd-W3">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974" w:rsidRDefault="00D75974" w:rsidP="00F0503C">
      <w:r>
        <w:separator/>
      </w:r>
    </w:p>
  </w:footnote>
  <w:footnote w:type="continuationSeparator" w:id="0">
    <w:p w:rsidR="00D75974" w:rsidRDefault="00D75974" w:rsidP="00F050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3A2"/>
    <w:rsid w:val="000B1405"/>
    <w:rsid w:val="000F7997"/>
    <w:rsid w:val="00134214"/>
    <w:rsid w:val="00192103"/>
    <w:rsid w:val="001B792F"/>
    <w:rsid w:val="001E05E9"/>
    <w:rsid w:val="002076DE"/>
    <w:rsid w:val="002125AB"/>
    <w:rsid w:val="00241686"/>
    <w:rsid w:val="0026478B"/>
    <w:rsid w:val="00280F8E"/>
    <w:rsid w:val="002818A7"/>
    <w:rsid w:val="002B3DC6"/>
    <w:rsid w:val="002B3E57"/>
    <w:rsid w:val="002B5932"/>
    <w:rsid w:val="002C5EE9"/>
    <w:rsid w:val="002C7066"/>
    <w:rsid w:val="002F2B3F"/>
    <w:rsid w:val="0034455C"/>
    <w:rsid w:val="003C4304"/>
    <w:rsid w:val="004216BA"/>
    <w:rsid w:val="00422BBA"/>
    <w:rsid w:val="0043461F"/>
    <w:rsid w:val="00466F90"/>
    <w:rsid w:val="004A00CF"/>
    <w:rsid w:val="004B3228"/>
    <w:rsid w:val="004D0CDF"/>
    <w:rsid w:val="004F64C5"/>
    <w:rsid w:val="005269E5"/>
    <w:rsid w:val="00526F35"/>
    <w:rsid w:val="00571FC2"/>
    <w:rsid w:val="005840A9"/>
    <w:rsid w:val="005A48CC"/>
    <w:rsid w:val="005B7A8E"/>
    <w:rsid w:val="0060426B"/>
    <w:rsid w:val="00683025"/>
    <w:rsid w:val="00685CB6"/>
    <w:rsid w:val="006A487C"/>
    <w:rsid w:val="006E55AF"/>
    <w:rsid w:val="00712F5D"/>
    <w:rsid w:val="00714D6D"/>
    <w:rsid w:val="007876F5"/>
    <w:rsid w:val="007916BE"/>
    <w:rsid w:val="007B3903"/>
    <w:rsid w:val="007B54D9"/>
    <w:rsid w:val="007C6340"/>
    <w:rsid w:val="007F5CD9"/>
    <w:rsid w:val="00805DC0"/>
    <w:rsid w:val="00807EE7"/>
    <w:rsid w:val="00881A8F"/>
    <w:rsid w:val="009A1828"/>
    <w:rsid w:val="009B7E29"/>
    <w:rsid w:val="009D042E"/>
    <w:rsid w:val="00A213A2"/>
    <w:rsid w:val="00A257EA"/>
    <w:rsid w:val="00A27D23"/>
    <w:rsid w:val="00A6447F"/>
    <w:rsid w:val="00A830BC"/>
    <w:rsid w:val="00B332E7"/>
    <w:rsid w:val="00B84127"/>
    <w:rsid w:val="00BF5C8B"/>
    <w:rsid w:val="00C124A7"/>
    <w:rsid w:val="00C44815"/>
    <w:rsid w:val="00C67D5F"/>
    <w:rsid w:val="00CD2B09"/>
    <w:rsid w:val="00CD682B"/>
    <w:rsid w:val="00D026B4"/>
    <w:rsid w:val="00D528CE"/>
    <w:rsid w:val="00D64F46"/>
    <w:rsid w:val="00D75974"/>
    <w:rsid w:val="00DA3DD5"/>
    <w:rsid w:val="00DC72DC"/>
    <w:rsid w:val="00E02A69"/>
    <w:rsid w:val="00E34ED9"/>
    <w:rsid w:val="00E563A1"/>
    <w:rsid w:val="00F0503C"/>
    <w:rsid w:val="00F41D26"/>
    <w:rsid w:val="00F72137"/>
    <w:rsid w:val="00F75AD0"/>
    <w:rsid w:val="00FA1D03"/>
    <w:rsid w:val="00FD5F88"/>
    <w:rsid w:val="00FE5BDA"/>
    <w:rsid w:val="00FF6C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E8214A"/>
  <w15:docId w15:val="{70BDF2F9-52F9-4735-B315-F9D6ECCFD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57E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503C"/>
    <w:pPr>
      <w:tabs>
        <w:tab w:val="center" w:pos="4153"/>
        <w:tab w:val="right" w:pos="8306"/>
      </w:tabs>
      <w:snapToGrid w:val="0"/>
    </w:pPr>
    <w:rPr>
      <w:sz w:val="20"/>
      <w:szCs w:val="20"/>
    </w:rPr>
  </w:style>
  <w:style w:type="character" w:customStyle="1" w:styleId="a4">
    <w:name w:val="頁首 字元"/>
    <w:basedOn w:val="a0"/>
    <w:link w:val="a3"/>
    <w:uiPriority w:val="99"/>
    <w:rsid w:val="00F0503C"/>
    <w:rPr>
      <w:sz w:val="20"/>
      <w:szCs w:val="20"/>
    </w:rPr>
  </w:style>
  <w:style w:type="paragraph" w:styleId="a5">
    <w:name w:val="footer"/>
    <w:basedOn w:val="a"/>
    <w:link w:val="a6"/>
    <w:uiPriority w:val="99"/>
    <w:unhideWhenUsed/>
    <w:rsid w:val="00F0503C"/>
    <w:pPr>
      <w:tabs>
        <w:tab w:val="center" w:pos="4153"/>
        <w:tab w:val="right" w:pos="8306"/>
      </w:tabs>
      <w:snapToGrid w:val="0"/>
    </w:pPr>
    <w:rPr>
      <w:sz w:val="20"/>
      <w:szCs w:val="20"/>
    </w:rPr>
  </w:style>
  <w:style w:type="character" w:customStyle="1" w:styleId="a6">
    <w:name w:val="頁尾 字元"/>
    <w:basedOn w:val="a0"/>
    <w:link w:val="a5"/>
    <w:uiPriority w:val="99"/>
    <w:rsid w:val="00F0503C"/>
    <w:rPr>
      <w:sz w:val="20"/>
      <w:szCs w:val="20"/>
    </w:rPr>
  </w:style>
  <w:style w:type="paragraph" w:styleId="a7">
    <w:name w:val="Balloon Text"/>
    <w:basedOn w:val="a"/>
    <w:link w:val="a8"/>
    <w:uiPriority w:val="99"/>
    <w:semiHidden/>
    <w:unhideWhenUsed/>
    <w:rsid w:val="00F0503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0503C"/>
    <w:rPr>
      <w:rFonts w:asciiTheme="majorHAnsi" w:eastAsiaTheme="majorEastAsia" w:hAnsiTheme="majorHAnsi" w:cstheme="majorBidi"/>
      <w:sz w:val="18"/>
      <w:szCs w:val="18"/>
    </w:rPr>
  </w:style>
  <w:style w:type="table" w:styleId="a9">
    <w:name w:val="Table Grid"/>
    <w:basedOn w:val="a1"/>
    <w:uiPriority w:val="59"/>
    <w:rsid w:val="002647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A1D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563</Words>
  <Characters>3213</Characters>
  <Application>Microsoft Office Word</Application>
  <DocSecurity>0</DocSecurity>
  <Lines>26</Lines>
  <Paragraphs>7</Paragraphs>
  <ScaleCrop>false</ScaleCrop>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莫璧君</dc:creator>
  <cp:lastModifiedBy>莫璧君</cp:lastModifiedBy>
  <cp:revision>16</cp:revision>
  <cp:lastPrinted>2019-12-17T08:21:00Z</cp:lastPrinted>
  <dcterms:created xsi:type="dcterms:W3CDTF">2019-12-17T08:17:00Z</dcterms:created>
  <dcterms:modified xsi:type="dcterms:W3CDTF">2020-12-02T02:40:00Z</dcterms:modified>
</cp:coreProperties>
</file>