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10C" w:rsidRPr="0093105C" w:rsidRDefault="0009310C" w:rsidP="009B4179">
      <w:pPr>
        <w:spacing w:line="420" w:lineRule="exact"/>
        <w:jc w:val="center"/>
        <w:rPr>
          <w:rFonts w:ascii="Calibri" w:eastAsia="標楷體" w:hAnsi="Calibri" w:cs="Times New Roman"/>
          <w:b/>
          <w:bCs/>
          <w:w w:val="75"/>
          <w:kern w:val="0"/>
          <w:sz w:val="32"/>
          <w:szCs w:val="32"/>
        </w:rPr>
      </w:pPr>
      <w:r w:rsidRPr="0093105C">
        <w:rPr>
          <w:rFonts w:ascii="Calibri" w:eastAsia="標楷體" w:hAnsi="Calibri" w:cs="Times New Roman" w:hint="eastAsia"/>
          <w:b/>
          <w:bCs/>
          <w:w w:val="75"/>
          <w:kern w:val="0"/>
          <w:sz w:val="32"/>
          <w:szCs w:val="32"/>
        </w:rPr>
        <w:t>中華民國期貨業商業同業公會「會員受託從事期貨交易手續費收取及折讓自律規則」</w:t>
      </w:r>
    </w:p>
    <w:p w:rsidR="006A0221" w:rsidRPr="0093105C" w:rsidRDefault="006A0221" w:rsidP="00DD580E">
      <w:pPr>
        <w:spacing w:line="300" w:lineRule="exact"/>
        <w:rPr>
          <w:rFonts w:ascii="Calibri" w:eastAsia="標楷體" w:hAnsi="Calibri" w:cs="Times New Roman"/>
          <w:bCs/>
          <w:w w:val="75"/>
          <w:kern w:val="0"/>
          <w:sz w:val="22"/>
        </w:rPr>
      </w:pPr>
    </w:p>
    <w:p w:rsidR="006A0221" w:rsidRPr="0093105C" w:rsidRDefault="006A0221" w:rsidP="00DD580E">
      <w:pPr>
        <w:spacing w:line="300" w:lineRule="exact"/>
        <w:rPr>
          <w:rFonts w:ascii="Calibri" w:eastAsia="標楷體" w:hAnsi="Calibri" w:cs="Times New Roman"/>
          <w:bCs/>
          <w:w w:val="75"/>
          <w:kern w:val="0"/>
          <w:sz w:val="22"/>
        </w:rPr>
      </w:pP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中華民國九十三年七月二十日中華民國期業商業同業公會</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第一屆理監事第一次聯席會追認通過</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中華民國九十三年七月十六日行政院金融監督管理委員會</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金管證七字第○九三○一三○六二二號函准予備查</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中華民國一○九年</w:t>
      </w:r>
      <w:bookmarkStart w:id="0" w:name="_GoBack"/>
      <w:bookmarkEnd w:id="0"/>
      <w:r w:rsidRPr="0093105C">
        <w:rPr>
          <w:rFonts w:ascii="Calibri" w:eastAsia="標楷體" w:hAnsi="Calibri" w:cs="Times New Roman" w:hint="eastAsia"/>
          <w:bCs/>
          <w:w w:val="75"/>
          <w:kern w:val="0"/>
          <w:sz w:val="22"/>
        </w:rPr>
        <w:t>二月二十一日中華民國期貨業商業同業公會</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第六屆理監事第四次聯席會決議通過</w:t>
      </w:r>
    </w:p>
    <w:p w:rsidR="006A0221" w:rsidRPr="0093105C" w:rsidRDefault="00D81922" w:rsidP="00D81922">
      <w:pPr>
        <w:wordWrap w:val="0"/>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lang w:eastAsia="zh-HK"/>
        </w:rPr>
        <w:t>中</w:t>
      </w:r>
      <w:r w:rsidR="006A0221" w:rsidRPr="0093105C">
        <w:rPr>
          <w:rFonts w:ascii="Calibri" w:eastAsia="標楷體" w:hAnsi="Calibri" w:cs="Times New Roman" w:hint="eastAsia"/>
          <w:bCs/>
          <w:w w:val="75"/>
          <w:kern w:val="0"/>
          <w:sz w:val="22"/>
        </w:rPr>
        <w:t>華民國一○九年三月二○日金融監督管理委員會</w:t>
      </w:r>
    </w:p>
    <w:p w:rsidR="006A0221" w:rsidRPr="0093105C" w:rsidRDefault="006A0221" w:rsidP="006A0221">
      <w:pPr>
        <w:spacing w:line="300" w:lineRule="exact"/>
        <w:jc w:val="righ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金管證期字第一○九○三三三○二一號函准予備查</w:t>
      </w:r>
    </w:p>
    <w:p w:rsidR="0009310C" w:rsidRPr="0093105C" w:rsidRDefault="00E905AD" w:rsidP="00DD580E">
      <w:pPr>
        <w:spacing w:line="300" w:lineRule="exact"/>
        <w:rPr>
          <w:rFonts w:ascii="Calibri" w:eastAsia="標楷體" w:hAnsi="Calibri" w:cs="Times New Roman"/>
          <w:bCs/>
          <w:w w:val="75"/>
          <w:kern w:val="0"/>
          <w:sz w:val="22"/>
        </w:rPr>
      </w:pPr>
      <w:r w:rsidRPr="0093105C">
        <w:rPr>
          <w:rFonts w:ascii="Calibri" w:eastAsia="標楷體" w:hAnsi="Calibri" w:cs="Times New Roman" w:hint="eastAsia"/>
          <w:bCs/>
          <w:w w:val="75"/>
          <w:kern w:val="0"/>
          <w:sz w:val="22"/>
        </w:rPr>
        <w:t xml:space="preserve">                                                          </w:t>
      </w:r>
    </w:p>
    <w:tbl>
      <w:tblPr>
        <w:tblW w:w="5000" w:type="pct"/>
        <w:tblCellMar>
          <w:left w:w="28" w:type="dxa"/>
          <w:right w:w="28" w:type="dxa"/>
        </w:tblCellMar>
        <w:tblLook w:val="0000" w:firstRow="0" w:lastRow="0" w:firstColumn="0" w:lastColumn="0" w:noHBand="0" w:noVBand="0"/>
      </w:tblPr>
      <w:tblGrid>
        <w:gridCol w:w="1331"/>
        <w:gridCol w:w="8367"/>
      </w:tblGrid>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第一條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中華民國期貨業商業同業公會(以下簡稱本公會)為規範所屬會員於訂定適用之手續費費率標準時能充分反應成本，避免造成不公平之惡性競爭，特訂定本自律規則。</w:t>
            </w:r>
          </w:p>
        </w:tc>
      </w:tr>
      <w:tr w:rsidR="0093105C" w:rsidRPr="0093105C" w:rsidTr="00F742F7">
        <w:trPr>
          <w:trHeight w:val="551"/>
        </w:trPr>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第二條</w:t>
            </w:r>
          </w:p>
        </w:tc>
        <w:tc>
          <w:tcPr>
            <w:tcW w:w="4314" w:type="pct"/>
            <w:vMerge w:val="restar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本自律規則所指之「期貨交易」依期貨交易法相關規定適用之。</w:t>
            </w:r>
          </w:p>
          <w:p w:rsidR="00C148E7" w:rsidRPr="0093105C" w:rsidRDefault="00C148E7"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hint="eastAsia"/>
                <w:kern w:val="0"/>
                <w:sz w:val="26"/>
                <w:szCs w:val="24"/>
              </w:rPr>
              <w:t>本自律規則所指之</w:t>
            </w:r>
            <w:r w:rsidRPr="0093105C">
              <w:rPr>
                <w:rFonts w:ascii="標楷體" w:eastAsia="標楷體" w:hAnsi="標楷體" w:hint="eastAsia"/>
                <w:kern w:val="0"/>
                <w:sz w:val="26"/>
                <w:szCs w:val="24"/>
              </w:rPr>
              <w:t>「</w:t>
            </w:r>
            <w:r w:rsidRPr="0093105C">
              <w:rPr>
                <w:rFonts w:ascii="標楷體" w:eastAsia="標楷體" w:hAnsi="Times New Roman" w:hint="eastAsia"/>
                <w:kern w:val="0"/>
                <w:sz w:val="26"/>
                <w:szCs w:val="24"/>
              </w:rPr>
              <w:t>手續費</w:t>
            </w:r>
            <w:r w:rsidRPr="0093105C">
              <w:rPr>
                <w:rFonts w:ascii="標楷體" w:eastAsia="標楷體" w:hAnsi="標楷體" w:hint="eastAsia"/>
                <w:kern w:val="0"/>
                <w:sz w:val="26"/>
                <w:szCs w:val="24"/>
              </w:rPr>
              <w:t>」</w:t>
            </w:r>
            <w:r w:rsidRPr="0093105C">
              <w:rPr>
                <w:rFonts w:ascii="標楷體" w:eastAsia="標楷體" w:hAnsi="Times New Roman" w:hint="eastAsia"/>
                <w:kern w:val="0"/>
                <w:sz w:val="26"/>
                <w:szCs w:val="24"/>
              </w:rPr>
              <w:t>為委託人依期貨交易法第七十一條支付期貨經紀商之佣金或其他手續費。</w:t>
            </w:r>
          </w:p>
          <w:p w:rsidR="0009310C" w:rsidRPr="0093105C" w:rsidRDefault="00DB6A96"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會員得依本自律規則向委託人收取「非揭示使用費」</w:t>
            </w:r>
            <w:r w:rsidRPr="0093105C">
              <w:rPr>
                <w:rFonts w:ascii="標楷體" w:eastAsia="標楷體" w:hAnsi="標楷體" w:cs="Times New Roman" w:hint="eastAsia"/>
                <w:sz w:val="26"/>
                <w:szCs w:val="24"/>
              </w:rPr>
              <w:t>、「</w:t>
            </w:r>
            <w:r w:rsidRPr="0093105C">
              <w:rPr>
                <w:rFonts w:ascii="標楷體" w:eastAsia="標楷體" w:hAnsi="Times New Roman" w:cs="Times New Roman" w:hint="eastAsia"/>
                <w:sz w:val="26"/>
                <w:szCs w:val="24"/>
              </w:rPr>
              <w:t>連線管理費</w:t>
            </w:r>
            <w:r w:rsidRPr="0093105C">
              <w:rPr>
                <w:rFonts w:ascii="標楷體" w:eastAsia="標楷體" w:hAnsi="標楷體" w:cs="Times New Roman" w:hint="eastAsia"/>
                <w:sz w:val="26"/>
                <w:szCs w:val="24"/>
              </w:rPr>
              <w:t>」</w:t>
            </w:r>
            <w:r w:rsidRPr="0093105C">
              <w:rPr>
                <w:rFonts w:ascii="標楷體" w:eastAsia="標楷體" w:hAnsi="Times New Roman" w:cs="Times New Roman" w:hint="eastAsia"/>
                <w:sz w:val="26"/>
                <w:szCs w:val="24"/>
              </w:rPr>
              <w:t>及</w:t>
            </w:r>
            <w:r w:rsidRPr="0093105C">
              <w:rPr>
                <w:rFonts w:ascii="標楷體" w:eastAsia="標楷體" w:hAnsi="標楷體" w:cs="Times New Roman" w:hint="eastAsia"/>
                <w:sz w:val="26"/>
                <w:szCs w:val="24"/>
              </w:rPr>
              <w:t>「</w:t>
            </w:r>
            <w:r w:rsidRPr="0093105C">
              <w:rPr>
                <w:rFonts w:ascii="標楷體" w:eastAsia="標楷體" w:hAnsi="Times New Roman" w:cs="Times New Roman" w:hint="eastAsia"/>
                <w:sz w:val="26"/>
                <w:szCs w:val="24"/>
              </w:rPr>
              <w:t>回補連線處理費</w:t>
            </w:r>
            <w:r w:rsidRPr="0093105C">
              <w:rPr>
                <w:rFonts w:ascii="標楷體" w:eastAsia="標楷體" w:hAnsi="標楷體" w:cs="Times New Roman" w:hint="eastAsia"/>
                <w:sz w:val="26"/>
                <w:szCs w:val="24"/>
              </w:rPr>
              <w:t>」</w:t>
            </w:r>
            <w:r w:rsidR="002B7345" w:rsidRPr="0093105C">
              <w:rPr>
                <w:rFonts w:ascii="標楷體" w:eastAsia="標楷體" w:hAnsi="標楷體" w:hint="eastAsia"/>
                <w:kern w:val="0"/>
                <w:sz w:val="26"/>
                <w:szCs w:val="24"/>
              </w:rPr>
              <w:t>之其他手續費</w:t>
            </w:r>
            <w:r w:rsidRPr="0093105C">
              <w:rPr>
                <w:rFonts w:ascii="標楷體" w:eastAsia="標楷體" w:hAnsi="Times New Roman" w:cs="Times New Roman" w:hint="eastAsia"/>
                <w:sz w:val="26"/>
                <w:szCs w:val="24"/>
              </w:rPr>
              <w:t>。</w:t>
            </w:r>
          </w:p>
        </w:tc>
      </w:tr>
      <w:tr w:rsidR="0093105C" w:rsidRPr="0093105C" w:rsidTr="00F742F7">
        <w:trPr>
          <w:trHeight w:val="551"/>
        </w:trPr>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第三條</w:t>
            </w:r>
          </w:p>
        </w:tc>
        <w:tc>
          <w:tcPr>
            <w:tcW w:w="4314" w:type="pct"/>
            <w:vMerge/>
          </w:tcPr>
          <w:p w:rsidR="0009310C" w:rsidRPr="0093105C" w:rsidRDefault="0009310C" w:rsidP="003E2ECE">
            <w:pPr>
              <w:spacing w:line="500" w:lineRule="exact"/>
              <w:jc w:val="both"/>
              <w:rPr>
                <w:rFonts w:ascii="標楷體" w:eastAsia="標楷體" w:hAnsi="Times New Roman" w:cs="Times New Roman"/>
                <w:sz w:val="26"/>
                <w:szCs w:val="24"/>
              </w:rPr>
            </w:pP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第四條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會員受託從事期貨交易，向委託人收取之手續費，其費率標準自行訂定，並應考慮相關營運成本，充分反應手續費收取之合理性。</w:t>
            </w:r>
          </w:p>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前項所稱營運成本係指經紀經手費、結算交割服務費、團體會費、佣金支出、交易人保護費、壞帳、營業稅捐、變動薪資費用及固定成本之總計。</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第五條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會員自訂手續費，不得有不當利誘、交叉補貼（自營、相關金融機構等不同部門、不同行業之補貼或其他任何方式）或掠奪式訂價等情事。</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第六條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為防止會員有妨礙公平競爭之虞，會員不得以利誘或其他不正當之方法，使競爭者之交易相對人與自己交易。</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第七條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會員於作相關手續費宣傳或廣告時，其內容不得有誤導、誇大或不實之情事，且應避免以減免或優惠之手續費，鼓勵當沖或短線交易。</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第八條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會員自行訂定之手續費費率收取及折讓標準，應於實施或調整前向本公會申報備查，並得於每日</w:t>
            </w:r>
            <w:r w:rsidRPr="0093105C">
              <w:rPr>
                <w:rFonts w:ascii="標楷體" w:eastAsia="標楷體" w:hAnsi="標楷體" w:cs="Times New Roman" w:hint="eastAsia"/>
                <w:sz w:val="26"/>
                <w:szCs w:val="24"/>
              </w:rPr>
              <w:t>、</w:t>
            </w:r>
            <w:r w:rsidRPr="0093105C">
              <w:rPr>
                <w:rFonts w:ascii="標楷體" w:eastAsia="標楷體" w:hAnsi="Times New Roman" w:cs="Times New Roman" w:hint="eastAsia"/>
                <w:sz w:val="26"/>
                <w:szCs w:val="24"/>
              </w:rPr>
              <w:t>每月</w:t>
            </w:r>
            <w:r w:rsidR="00830CAE" w:rsidRPr="0093105C">
              <w:rPr>
                <w:rFonts w:ascii="標楷體" w:eastAsia="標楷體" w:hAnsi="Times New Roman" w:cs="Times New Roman" w:hint="eastAsia"/>
                <w:sz w:val="26"/>
                <w:szCs w:val="24"/>
              </w:rPr>
              <w:t>(</w:t>
            </w:r>
            <w:r w:rsidRPr="0093105C">
              <w:rPr>
                <w:rFonts w:ascii="標楷體" w:eastAsia="標楷體" w:hAnsi="Times New Roman" w:cs="Times New Roman" w:hint="eastAsia"/>
                <w:sz w:val="26"/>
                <w:szCs w:val="24"/>
              </w:rPr>
              <w:t>或約定之收費期間</w:t>
            </w:r>
            <w:r w:rsidR="00830CAE" w:rsidRPr="0093105C">
              <w:rPr>
                <w:rFonts w:ascii="標楷體" w:eastAsia="標楷體" w:hAnsi="Times New Roman" w:cs="Times New Roman" w:hint="eastAsia"/>
                <w:sz w:val="26"/>
                <w:szCs w:val="24"/>
              </w:rPr>
              <w:t>)</w:t>
            </w:r>
            <w:r w:rsidRPr="0093105C">
              <w:rPr>
                <w:rFonts w:ascii="標楷體" w:eastAsia="標楷體" w:hAnsi="標楷體" w:cs="Times New Roman" w:hint="eastAsia"/>
                <w:sz w:val="26"/>
                <w:szCs w:val="24"/>
              </w:rPr>
              <w:t>，</w:t>
            </w:r>
            <w:r w:rsidRPr="0093105C">
              <w:rPr>
                <w:rFonts w:ascii="標楷體" w:eastAsia="標楷體" w:hAnsi="Times New Roman" w:cs="Times New Roman" w:hint="eastAsia"/>
                <w:sz w:val="26"/>
                <w:szCs w:val="24"/>
              </w:rPr>
              <w:t>依一定費率收費後，按月</w:t>
            </w:r>
            <w:r w:rsidR="001B375F" w:rsidRPr="0093105C">
              <w:rPr>
                <w:rFonts w:ascii="標楷體" w:eastAsia="標楷體" w:hAnsi="Times New Roman" w:cs="Times New Roman" w:hint="eastAsia"/>
                <w:sz w:val="26"/>
                <w:szCs w:val="24"/>
              </w:rPr>
              <w:t>折讓</w:t>
            </w:r>
            <w:r w:rsidRPr="0093105C">
              <w:rPr>
                <w:rFonts w:ascii="標楷體" w:eastAsia="標楷體" w:hAnsi="Times New Roman" w:cs="Times New Roman" w:hint="eastAsia"/>
                <w:sz w:val="26"/>
                <w:szCs w:val="24"/>
              </w:rPr>
              <w:t>，依下列事項辦理：</w:t>
            </w:r>
          </w:p>
          <w:p w:rsidR="0009310C" w:rsidRPr="0093105C" w:rsidRDefault="0009310C" w:rsidP="003E2ECE">
            <w:pPr>
              <w:tabs>
                <w:tab w:val="num" w:pos="332"/>
              </w:tabs>
              <w:snapToGrid w:val="0"/>
              <w:spacing w:line="500" w:lineRule="exact"/>
              <w:ind w:leftChars="94" w:left="743" w:hangingChars="199" w:hanging="517"/>
              <w:rPr>
                <w:rFonts w:ascii="標楷體" w:eastAsia="標楷體" w:hAnsi="Times New Roman" w:cs="Times New Roman"/>
                <w:sz w:val="26"/>
                <w:szCs w:val="24"/>
              </w:rPr>
            </w:pPr>
            <w:r w:rsidRPr="0093105C">
              <w:rPr>
                <w:rFonts w:ascii="標楷體" w:eastAsia="標楷體" w:hAnsi="Times New Roman" w:cs="Times New Roman" w:hint="eastAsia"/>
                <w:sz w:val="26"/>
                <w:szCs w:val="24"/>
              </w:rPr>
              <w:t>一、會員退還委託人之手續費折讓金額，應匯入原客戶保證金專戶，並</w:t>
            </w:r>
            <w:r w:rsidRPr="0093105C">
              <w:rPr>
                <w:rFonts w:ascii="標楷體" w:eastAsia="標楷體" w:hAnsi="Times New Roman" w:cs="Times New Roman" w:hint="eastAsia"/>
                <w:sz w:val="26"/>
                <w:szCs w:val="24"/>
              </w:rPr>
              <w:lastRenderedPageBreak/>
              <w:t>應於對帳單月報表上記載折讓之金額。</w:t>
            </w:r>
          </w:p>
          <w:p w:rsidR="0009310C" w:rsidRPr="0093105C" w:rsidRDefault="0009310C" w:rsidP="003E2ECE">
            <w:pPr>
              <w:tabs>
                <w:tab w:val="num" w:pos="332"/>
              </w:tabs>
              <w:snapToGrid w:val="0"/>
              <w:spacing w:line="500" w:lineRule="exact"/>
              <w:ind w:leftChars="94" w:left="743" w:hangingChars="199" w:hanging="517"/>
              <w:rPr>
                <w:rFonts w:ascii="標楷體" w:eastAsia="標楷體" w:hAnsi="Times New Roman" w:cs="Times New Roman"/>
                <w:sz w:val="26"/>
                <w:szCs w:val="24"/>
              </w:rPr>
            </w:pPr>
            <w:r w:rsidRPr="0093105C">
              <w:rPr>
                <w:rFonts w:ascii="標楷體" w:eastAsia="標楷體" w:hAnsi="Times New Roman" w:cs="Times New Roman" w:hint="eastAsia"/>
                <w:sz w:val="26"/>
                <w:szCs w:val="24"/>
              </w:rPr>
              <w:t>二、會員對委託人折讓收取之手續費，應確實入帳並作為「受託買賣手續費收入」之減項。</w:t>
            </w:r>
          </w:p>
          <w:p w:rsidR="0009310C" w:rsidRPr="0093105C" w:rsidRDefault="0009310C" w:rsidP="003E2ECE">
            <w:pPr>
              <w:tabs>
                <w:tab w:val="num" w:pos="332"/>
              </w:tabs>
              <w:snapToGrid w:val="0"/>
              <w:spacing w:line="500" w:lineRule="exact"/>
              <w:ind w:leftChars="94" w:left="743" w:hangingChars="199" w:hanging="517"/>
              <w:rPr>
                <w:rFonts w:ascii="標楷體" w:eastAsia="標楷體" w:hAnsi="Times New Roman" w:cs="Times New Roman"/>
                <w:sz w:val="26"/>
                <w:szCs w:val="24"/>
              </w:rPr>
            </w:pPr>
            <w:r w:rsidRPr="0093105C">
              <w:rPr>
                <w:rFonts w:ascii="標楷體" w:eastAsia="標楷體" w:hAnsi="Times New Roman" w:cs="Times New Roman" w:hint="eastAsia"/>
                <w:sz w:val="26"/>
                <w:szCs w:val="24"/>
              </w:rPr>
              <w:t>三、會員於向臺灣期貨交易所股份有限公司申報之月計表應列明總折讓金額。</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lastRenderedPageBreak/>
              <w:t>第九條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為落實本自律規則之執行，本公會得請會員於一定期間內，提出相關補充說明之書面資料，會員不得拒絕。</w:t>
            </w:r>
          </w:p>
        </w:tc>
      </w:tr>
      <w:tr w:rsidR="0093105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第十條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會員違反本自律規則之規定，經本公會紀律委員會認定屬實，提理事會後，陳報目的事業主管機關處理。</w:t>
            </w:r>
          </w:p>
        </w:tc>
      </w:tr>
      <w:tr w:rsidR="0009310C" w:rsidRPr="0093105C" w:rsidTr="00F742F7">
        <w:tc>
          <w:tcPr>
            <w:tcW w:w="686" w:type="pct"/>
          </w:tcPr>
          <w:p w:rsidR="0009310C" w:rsidRPr="0093105C" w:rsidRDefault="0009310C" w:rsidP="003E2ECE">
            <w:pPr>
              <w:spacing w:line="500" w:lineRule="exact"/>
              <w:rPr>
                <w:rFonts w:ascii="Times New Roman" w:eastAsia="標楷體" w:hAnsi="Times New Roman" w:cs="Times New Roman"/>
                <w:sz w:val="26"/>
                <w:szCs w:val="24"/>
              </w:rPr>
            </w:pPr>
            <w:r w:rsidRPr="0093105C">
              <w:rPr>
                <w:rFonts w:ascii="Times New Roman" w:eastAsia="標楷體" w:hAnsi="Times New Roman" w:cs="Times New Roman" w:hint="eastAsia"/>
                <w:sz w:val="26"/>
                <w:szCs w:val="24"/>
              </w:rPr>
              <w:t>第十一條</w:t>
            </w:r>
          </w:p>
        </w:tc>
        <w:tc>
          <w:tcPr>
            <w:tcW w:w="4314" w:type="pct"/>
          </w:tcPr>
          <w:p w:rsidR="0009310C" w:rsidRPr="0093105C" w:rsidRDefault="0009310C" w:rsidP="003E2ECE">
            <w:pPr>
              <w:spacing w:line="500" w:lineRule="exact"/>
              <w:jc w:val="both"/>
              <w:rPr>
                <w:rFonts w:ascii="標楷體" w:eastAsia="標楷體" w:hAnsi="Times New Roman" w:cs="Times New Roman"/>
                <w:sz w:val="26"/>
                <w:szCs w:val="24"/>
              </w:rPr>
            </w:pPr>
            <w:r w:rsidRPr="0093105C">
              <w:rPr>
                <w:rFonts w:ascii="標楷體" w:eastAsia="標楷體" w:hAnsi="Times New Roman" w:cs="Times New Roman" w:hint="eastAsia"/>
                <w:sz w:val="26"/>
                <w:szCs w:val="24"/>
              </w:rPr>
              <w:t>本自律規則經本公會理事會通過，並報主管機關備查後公告實施，修正時亦同。</w:t>
            </w:r>
          </w:p>
        </w:tc>
      </w:tr>
    </w:tbl>
    <w:p w:rsidR="00263FE7" w:rsidRPr="0093105C" w:rsidRDefault="00263FE7" w:rsidP="009B4179">
      <w:pPr>
        <w:spacing w:line="420" w:lineRule="exact"/>
      </w:pPr>
    </w:p>
    <w:sectPr w:rsidR="00263FE7" w:rsidRPr="0093105C" w:rsidSect="00D25FC1">
      <w:pgSz w:w="11910" w:h="16840" w:code="9"/>
      <w:pgMar w:top="1134" w:right="1134" w:bottom="851" w:left="1134" w:header="0" w:footer="10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D29" w:rsidRDefault="007B6D29">
      <w:r>
        <w:separator/>
      </w:r>
    </w:p>
  </w:endnote>
  <w:endnote w:type="continuationSeparator" w:id="0">
    <w:p w:rsidR="007B6D29" w:rsidRDefault="007B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D29" w:rsidRDefault="007B6D29">
      <w:r>
        <w:separator/>
      </w:r>
    </w:p>
  </w:footnote>
  <w:footnote w:type="continuationSeparator" w:id="0">
    <w:p w:rsidR="007B6D29" w:rsidRDefault="007B6D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10C"/>
    <w:rsid w:val="00030C8E"/>
    <w:rsid w:val="00045B04"/>
    <w:rsid w:val="00081003"/>
    <w:rsid w:val="0009310C"/>
    <w:rsid w:val="000A25A6"/>
    <w:rsid w:val="000A6F3F"/>
    <w:rsid w:val="000E40FF"/>
    <w:rsid w:val="000E6FC0"/>
    <w:rsid w:val="00161716"/>
    <w:rsid w:val="001B375F"/>
    <w:rsid w:val="00203C67"/>
    <w:rsid w:val="00263FE7"/>
    <w:rsid w:val="00275D97"/>
    <w:rsid w:val="002B7345"/>
    <w:rsid w:val="002C7ECC"/>
    <w:rsid w:val="002D2179"/>
    <w:rsid w:val="002E545A"/>
    <w:rsid w:val="003232B2"/>
    <w:rsid w:val="00352177"/>
    <w:rsid w:val="003B76CF"/>
    <w:rsid w:val="003E2ECE"/>
    <w:rsid w:val="00412939"/>
    <w:rsid w:val="00417638"/>
    <w:rsid w:val="00472828"/>
    <w:rsid w:val="004871D9"/>
    <w:rsid w:val="00523661"/>
    <w:rsid w:val="00534273"/>
    <w:rsid w:val="005531EB"/>
    <w:rsid w:val="00563F22"/>
    <w:rsid w:val="005D01D8"/>
    <w:rsid w:val="005F6EB4"/>
    <w:rsid w:val="006203F3"/>
    <w:rsid w:val="00627E46"/>
    <w:rsid w:val="00645A78"/>
    <w:rsid w:val="006A0221"/>
    <w:rsid w:val="006F61AE"/>
    <w:rsid w:val="006F665E"/>
    <w:rsid w:val="00702248"/>
    <w:rsid w:val="007B22FE"/>
    <w:rsid w:val="007B6D29"/>
    <w:rsid w:val="007F5AB1"/>
    <w:rsid w:val="00830CAE"/>
    <w:rsid w:val="008340F5"/>
    <w:rsid w:val="00851340"/>
    <w:rsid w:val="008552A2"/>
    <w:rsid w:val="00877DB3"/>
    <w:rsid w:val="00890547"/>
    <w:rsid w:val="008D6817"/>
    <w:rsid w:val="00930DB4"/>
    <w:rsid w:val="0093105C"/>
    <w:rsid w:val="00951C6B"/>
    <w:rsid w:val="00984634"/>
    <w:rsid w:val="009B4179"/>
    <w:rsid w:val="009D446B"/>
    <w:rsid w:val="00A17837"/>
    <w:rsid w:val="00A4132B"/>
    <w:rsid w:val="00A433F0"/>
    <w:rsid w:val="00AC0199"/>
    <w:rsid w:val="00AF39E7"/>
    <w:rsid w:val="00AF4354"/>
    <w:rsid w:val="00B00B21"/>
    <w:rsid w:val="00B21DF3"/>
    <w:rsid w:val="00B81FCB"/>
    <w:rsid w:val="00BF78BC"/>
    <w:rsid w:val="00C148E7"/>
    <w:rsid w:val="00C449D8"/>
    <w:rsid w:val="00C814F8"/>
    <w:rsid w:val="00CE5352"/>
    <w:rsid w:val="00D25FC1"/>
    <w:rsid w:val="00D2624A"/>
    <w:rsid w:val="00D32587"/>
    <w:rsid w:val="00D81922"/>
    <w:rsid w:val="00DB6A96"/>
    <w:rsid w:val="00DD580E"/>
    <w:rsid w:val="00E24F0E"/>
    <w:rsid w:val="00E46753"/>
    <w:rsid w:val="00E63009"/>
    <w:rsid w:val="00E856EA"/>
    <w:rsid w:val="00E905AD"/>
    <w:rsid w:val="00EA7E12"/>
    <w:rsid w:val="00EC64C0"/>
    <w:rsid w:val="00F162E6"/>
    <w:rsid w:val="00F45F72"/>
    <w:rsid w:val="00F77AFE"/>
    <w:rsid w:val="00FA5B55"/>
    <w:rsid w:val="00FB50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9310C"/>
    <w:pPr>
      <w:tabs>
        <w:tab w:val="center" w:pos="4153"/>
        <w:tab w:val="right" w:pos="8306"/>
      </w:tabs>
      <w:snapToGrid w:val="0"/>
    </w:pPr>
    <w:rPr>
      <w:kern w:val="0"/>
      <w:sz w:val="20"/>
      <w:szCs w:val="20"/>
      <w:lang w:eastAsia="en-US"/>
    </w:rPr>
  </w:style>
  <w:style w:type="character" w:customStyle="1" w:styleId="a4">
    <w:name w:val="頁尾 字元"/>
    <w:basedOn w:val="a0"/>
    <w:link w:val="a3"/>
    <w:uiPriority w:val="99"/>
    <w:rsid w:val="0009310C"/>
    <w:rPr>
      <w:kern w:val="0"/>
      <w:sz w:val="20"/>
      <w:szCs w:val="20"/>
      <w:lang w:eastAsia="en-US"/>
    </w:rPr>
  </w:style>
  <w:style w:type="paragraph" w:styleId="a5">
    <w:name w:val="Balloon Text"/>
    <w:basedOn w:val="a"/>
    <w:link w:val="a6"/>
    <w:uiPriority w:val="99"/>
    <w:semiHidden/>
    <w:unhideWhenUsed/>
    <w:rsid w:val="00203C6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203C67"/>
    <w:rPr>
      <w:rFonts w:asciiTheme="majorHAnsi" w:eastAsiaTheme="majorEastAsia" w:hAnsiTheme="majorHAnsi" w:cstheme="majorBidi"/>
      <w:sz w:val="18"/>
      <w:szCs w:val="18"/>
    </w:rPr>
  </w:style>
  <w:style w:type="paragraph" w:styleId="a7">
    <w:name w:val="header"/>
    <w:basedOn w:val="a"/>
    <w:link w:val="a8"/>
    <w:uiPriority w:val="99"/>
    <w:unhideWhenUsed/>
    <w:rsid w:val="001B375F"/>
    <w:pPr>
      <w:tabs>
        <w:tab w:val="center" w:pos="4153"/>
        <w:tab w:val="right" w:pos="8306"/>
      </w:tabs>
      <w:snapToGrid w:val="0"/>
    </w:pPr>
    <w:rPr>
      <w:sz w:val="20"/>
      <w:szCs w:val="20"/>
    </w:rPr>
  </w:style>
  <w:style w:type="character" w:customStyle="1" w:styleId="a8">
    <w:name w:val="頁首 字元"/>
    <w:basedOn w:val="a0"/>
    <w:link w:val="a7"/>
    <w:uiPriority w:val="99"/>
    <w:rsid w:val="001B375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09310C"/>
    <w:pPr>
      <w:tabs>
        <w:tab w:val="center" w:pos="4153"/>
        <w:tab w:val="right" w:pos="8306"/>
      </w:tabs>
      <w:snapToGrid w:val="0"/>
    </w:pPr>
    <w:rPr>
      <w:kern w:val="0"/>
      <w:sz w:val="20"/>
      <w:szCs w:val="20"/>
      <w:lang w:eastAsia="en-US"/>
    </w:rPr>
  </w:style>
  <w:style w:type="character" w:customStyle="1" w:styleId="a4">
    <w:name w:val="頁尾 字元"/>
    <w:basedOn w:val="a0"/>
    <w:link w:val="a3"/>
    <w:uiPriority w:val="99"/>
    <w:rsid w:val="0009310C"/>
    <w:rPr>
      <w:kern w:val="0"/>
      <w:sz w:val="20"/>
      <w:szCs w:val="20"/>
      <w:lang w:eastAsia="en-US"/>
    </w:rPr>
  </w:style>
  <w:style w:type="paragraph" w:styleId="a5">
    <w:name w:val="Balloon Text"/>
    <w:basedOn w:val="a"/>
    <w:link w:val="a6"/>
    <w:uiPriority w:val="99"/>
    <w:semiHidden/>
    <w:unhideWhenUsed/>
    <w:rsid w:val="00203C67"/>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203C67"/>
    <w:rPr>
      <w:rFonts w:asciiTheme="majorHAnsi" w:eastAsiaTheme="majorEastAsia" w:hAnsiTheme="majorHAnsi" w:cstheme="majorBidi"/>
      <w:sz w:val="18"/>
      <w:szCs w:val="18"/>
    </w:rPr>
  </w:style>
  <w:style w:type="paragraph" w:styleId="a7">
    <w:name w:val="header"/>
    <w:basedOn w:val="a"/>
    <w:link w:val="a8"/>
    <w:uiPriority w:val="99"/>
    <w:unhideWhenUsed/>
    <w:rsid w:val="001B375F"/>
    <w:pPr>
      <w:tabs>
        <w:tab w:val="center" w:pos="4153"/>
        <w:tab w:val="right" w:pos="8306"/>
      </w:tabs>
      <w:snapToGrid w:val="0"/>
    </w:pPr>
    <w:rPr>
      <w:sz w:val="20"/>
      <w:szCs w:val="20"/>
    </w:rPr>
  </w:style>
  <w:style w:type="character" w:customStyle="1" w:styleId="a8">
    <w:name w:val="頁首 字元"/>
    <w:basedOn w:val="a0"/>
    <w:link w:val="a7"/>
    <w:uiPriority w:val="99"/>
    <w:rsid w:val="001B37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174</Words>
  <Characters>993</Characters>
  <Application>Microsoft Office Word</Application>
  <DocSecurity>0</DocSecurity>
  <Lines>8</Lines>
  <Paragraphs>2</Paragraphs>
  <ScaleCrop>false</ScaleCrop>
  <Company/>
  <LinksUpToDate>false</LinksUpToDate>
  <CharactersWithSpaces>1165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陳怡真</dc:creator>
  <cp:lastModifiedBy>謝美惠</cp:lastModifiedBy>
  <cp:revision>38</cp:revision>
  <cp:lastPrinted>2020-02-19T03:40:00Z</cp:lastPrinted>
  <dcterms:created xsi:type="dcterms:W3CDTF">2020-03-23T02:43:00Z</dcterms:created>
  <dcterms:modified xsi:type="dcterms:W3CDTF">2020-03-25T00:39:00Z</dcterms:modified>
</cp:coreProperties>
</file>