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0CF" w:rsidRDefault="004A00CF" w:rsidP="004A00CF">
      <w:pPr>
        <w:jc w:val="center"/>
        <w:rPr>
          <w:rFonts w:ascii="微軟正黑體" w:eastAsia="微軟正黑體" w:hAnsi="微軟正黑體" w:cs="DFYuanStd-W5"/>
          <w:b/>
          <w:color w:val="FFFFFF" w:themeColor="background1"/>
          <w:kern w:val="0"/>
          <w:sz w:val="27"/>
          <w:szCs w:val="27"/>
          <w:highlight w:val="blue"/>
        </w:rPr>
      </w:pPr>
      <w:r w:rsidRPr="00336135">
        <w:rPr>
          <w:rFonts w:ascii="微軟正黑體" w:eastAsia="微軟正黑體" w:hAnsi="微軟正黑體" w:cs="DFYuanStd-W5" w:hint="eastAsia"/>
          <w:b/>
          <w:color w:val="FFFFFF" w:themeColor="background1"/>
          <w:kern w:val="0"/>
          <w:sz w:val="27"/>
          <w:szCs w:val="27"/>
          <w:highlight w:val="blue"/>
        </w:rPr>
        <w:t>「洗錢防制/打擊</w:t>
      </w:r>
      <w:proofErr w:type="gramStart"/>
      <w:r w:rsidRPr="00336135">
        <w:rPr>
          <w:rFonts w:ascii="微軟正黑體" w:eastAsia="微軟正黑體" w:hAnsi="微軟正黑體" w:cs="DFYuanStd-W5" w:hint="eastAsia"/>
          <w:b/>
          <w:color w:val="FFFFFF" w:themeColor="background1"/>
          <w:kern w:val="0"/>
          <w:sz w:val="27"/>
          <w:szCs w:val="27"/>
          <w:highlight w:val="blue"/>
        </w:rPr>
        <w:t>資恐（</w:t>
      </w:r>
      <w:proofErr w:type="gramEnd"/>
      <w:r w:rsidRPr="00336135">
        <w:rPr>
          <w:rFonts w:ascii="微軟正黑體" w:eastAsia="微軟正黑體" w:hAnsi="微軟正黑體" w:cs="DFYuanStd-W5" w:hint="eastAsia"/>
          <w:b/>
          <w:color w:val="FFFFFF" w:themeColor="background1"/>
          <w:kern w:val="0"/>
          <w:sz w:val="27"/>
          <w:szCs w:val="27"/>
          <w:highlight w:val="blue"/>
        </w:rPr>
        <w:t>AML/CFT）法令解析及案例說明會</w:t>
      </w:r>
    </w:p>
    <w:p w:rsidR="004A00CF" w:rsidRPr="00336135" w:rsidRDefault="004A00CF" w:rsidP="004A00CF">
      <w:pPr>
        <w:jc w:val="center"/>
        <w:rPr>
          <w:rFonts w:ascii="微軟正黑體" w:eastAsia="微軟正黑體" w:hAnsi="微軟正黑體" w:cs="DFYuanStd-W5"/>
          <w:b/>
          <w:color w:val="FFFFFF" w:themeColor="background1"/>
          <w:kern w:val="0"/>
          <w:sz w:val="27"/>
          <w:szCs w:val="27"/>
          <w:highlight w:val="blue"/>
        </w:rPr>
      </w:pPr>
      <w:r w:rsidRPr="00336135">
        <w:rPr>
          <w:rFonts w:ascii="微軟正黑體" w:eastAsia="微軟正黑體" w:hAnsi="微軟正黑體" w:cs="DFYuanStd-W5" w:hint="eastAsia"/>
          <w:b/>
          <w:color w:val="FFFFFF" w:themeColor="background1"/>
          <w:kern w:val="0"/>
          <w:sz w:val="27"/>
          <w:szCs w:val="27"/>
          <w:highlight w:val="blue"/>
        </w:rPr>
        <w:t>摘要報導</w:t>
      </w:r>
    </w:p>
    <w:p w:rsidR="004A00CF" w:rsidRDefault="004A00CF" w:rsidP="004A00CF">
      <w:pPr>
        <w:jc w:val="right"/>
        <w:rPr>
          <w:rFonts w:asciiTheme="minorEastAsia" w:hAnsiTheme="minorEastAsia"/>
          <w:szCs w:val="24"/>
        </w:rPr>
      </w:pPr>
      <w:r>
        <w:rPr>
          <w:rFonts w:asciiTheme="minorEastAsia" w:hAnsiTheme="minorEastAsia" w:hint="eastAsia"/>
          <w:szCs w:val="24"/>
        </w:rPr>
        <w:t>108</w:t>
      </w:r>
      <w:r w:rsidRPr="00A213A2">
        <w:rPr>
          <w:rFonts w:asciiTheme="minorEastAsia" w:hAnsiTheme="minorEastAsia" w:hint="eastAsia"/>
          <w:szCs w:val="24"/>
        </w:rPr>
        <w:t>年</w:t>
      </w:r>
      <w:r>
        <w:rPr>
          <w:rFonts w:asciiTheme="minorEastAsia" w:hAnsiTheme="minorEastAsia" w:hint="eastAsia"/>
          <w:szCs w:val="24"/>
        </w:rPr>
        <w:t>10</w:t>
      </w:r>
      <w:r w:rsidRPr="00A213A2">
        <w:rPr>
          <w:rFonts w:asciiTheme="minorEastAsia" w:hAnsiTheme="minorEastAsia" w:hint="eastAsia"/>
          <w:szCs w:val="24"/>
        </w:rPr>
        <w:t>月刊會訊報導</w:t>
      </w:r>
    </w:p>
    <w:p w:rsidR="004A00CF" w:rsidRDefault="004A00CF" w:rsidP="004A00CF">
      <w:pPr>
        <w:autoSpaceDE w:val="0"/>
        <w:autoSpaceDN w:val="0"/>
        <w:spacing w:beforeLines="50" w:before="180"/>
        <w:ind w:rightChars="-24" w:right="-58"/>
        <w:jc w:val="center"/>
        <w:rPr>
          <w:rFonts w:ascii="微軟正黑體" w:eastAsia="微軟正黑體" w:hAnsi="微軟正黑體"/>
          <w:szCs w:val="24"/>
        </w:rPr>
      </w:pPr>
      <w:r>
        <w:rPr>
          <w:rFonts w:ascii="微軟正黑體" w:eastAsia="微軟正黑體" w:hAnsi="微軟正黑體"/>
          <w:noProof/>
          <w:szCs w:val="24"/>
        </w:rPr>
        <w:drawing>
          <wp:inline distT="0" distB="0" distL="0" distR="0" wp14:anchorId="5DBF9D8A" wp14:editId="1B0BA774">
            <wp:extent cx="5274310" cy="3066547"/>
            <wp:effectExtent l="0" t="0" r="254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066547"/>
                    </a:xfrm>
                    <a:prstGeom prst="rect">
                      <a:avLst/>
                    </a:prstGeom>
                    <a:noFill/>
                    <a:ln>
                      <a:noFill/>
                    </a:ln>
                  </pic:spPr>
                </pic:pic>
              </a:graphicData>
            </a:graphic>
          </wp:inline>
        </w:drawing>
      </w:r>
    </w:p>
    <w:p w:rsidR="004A00CF" w:rsidRPr="00E064A6" w:rsidRDefault="004A00CF" w:rsidP="00685CB6">
      <w:pPr>
        <w:autoSpaceDE w:val="0"/>
        <w:autoSpaceDN w:val="0"/>
        <w:spacing w:beforeLines="50" w:before="180" w:line="360" w:lineRule="exact"/>
        <w:rPr>
          <w:rFonts w:ascii="微軟正黑體" w:eastAsia="微軟正黑體" w:hAnsi="微軟正黑體" w:cs="DFYuanStd-W3"/>
          <w:kern w:val="0"/>
          <w:szCs w:val="24"/>
        </w:rPr>
      </w:pPr>
      <w:r w:rsidRPr="00E064A6">
        <w:rPr>
          <w:rFonts w:ascii="微軟正黑體" w:eastAsia="微軟正黑體" w:hAnsi="微軟正黑體" w:cs="DFYuanStd-W3" w:hint="eastAsia"/>
          <w:kern w:val="0"/>
          <w:szCs w:val="24"/>
        </w:rPr>
        <w:t>為協助業者瞭解洗錢防制與打擊</w:t>
      </w:r>
      <w:proofErr w:type="gramStart"/>
      <w:r w:rsidRPr="00E064A6">
        <w:rPr>
          <w:rFonts w:ascii="微軟正黑體" w:eastAsia="微軟正黑體" w:hAnsi="微軟正黑體" w:cs="DFYuanStd-W3" w:hint="eastAsia"/>
          <w:kern w:val="0"/>
          <w:szCs w:val="24"/>
        </w:rPr>
        <w:t>資恐（</w:t>
      </w:r>
      <w:proofErr w:type="gramEnd"/>
      <w:r w:rsidRPr="00E064A6">
        <w:rPr>
          <w:rFonts w:ascii="微軟正黑體" w:eastAsia="微軟正黑體" w:hAnsi="微軟正黑體" w:cs="DFYuanStd-W3" w:hint="eastAsia"/>
          <w:kern w:val="0"/>
          <w:szCs w:val="24"/>
        </w:rPr>
        <w:t>AML/CFT）相關規範之落實執行，本公會舉辦台北、台中及高雄共三場說明會，特邀請行政院洗錢防制辦公室就AML/CFT相關法令規範、國際趨勢及實務作業，以及亞太防制洗錢組織（APG）第三輪評鑑成果進行說明，適時提供業者最新資訊，說明會內容精彩豐富，互動熱絡。</w:t>
      </w:r>
    </w:p>
    <w:p w:rsidR="004A00CF" w:rsidRPr="00E064A6" w:rsidRDefault="004A00CF" w:rsidP="00685CB6">
      <w:pPr>
        <w:autoSpaceDE w:val="0"/>
        <w:autoSpaceDN w:val="0"/>
        <w:spacing w:beforeLines="50" w:before="180" w:line="360" w:lineRule="exact"/>
        <w:rPr>
          <w:rFonts w:ascii="微軟正黑體" w:eastAsia="微軟正黑體" w:hAnsi="微軟正黑體" w:cs="DFYuanStd-W3"/>
          <w:kern w:val="0"/>
          <w:szCs w:val="24"/>
        </w:rPr>
      </w:pPr>
      <w:r w:rsidRPr="00E064A6">
        <w:rPr>
          <w:rFonts w:ascii="微軟正黑體" w:eastAsia="微軟正黑體" w:hAnsi="微軟正黑體" w:cs="DFYuanStd-W3" w:hint="eastAsia"/>
          <w:kern w:val="0"/>
          <w:szCs w:val="24"/>
        </w:rPr>
        <w:t>講者首先說明反洗錢AML係指禁止</w:t>
      </w:r>
      <w:proofErr w:type="gramStart"/>
      <w:r w:rsidRPr="00E064A6">
        <w:rPr>
          <w:rFonts w:ascii="微軟正黑體" w:eastAsia="微軟正黑體" w:hAnsi="微軟正黑體" w:cs="DFYuanStd-W3" w:hint="eastAsia"/>
          <w:kern w:val="0"/>
          <w:szCs w:val="24"/>
        </w:rPr>
        <w:t>髒</w:t>
      </w:r>
      <w:proofErr w:type="gramEnd"/>
      <w:r w:rsidRPr="00E064A6">
        <w:rPr>
          <w:rFonts w:ascii="微軟正黑體" w:eastAsia="微軟正黑體" w:hAnsi="微軟正黑體" w:cs="DFYuanStd-W3" w:hint="eastAsia"/>
          <w:kern w:val="0"/>
          <w:szCs w:val="24"/>
        </w:rPr>
        <w:t>錢漂白成乾淨的錢，</w:t>
      </w:r>
      <w:proofErr w:type="gramStart"/>
      <w:r w:rsidRPr="00E064A6">
        <w:rPr>
          <w:rFonts w:ascii="微軟正黑體" w:eastAsia="微軟正黑體" w:hAnsi="微軟正黑體" w:cs="DFYuanStd-W3" w:hint="eastAsia"/>
          <w:kern w:val="0"/>
          <w:szCs w:val="24"/>
        </w:rPr>
        <w:t>反資恐</w:t>
      </w:r>
      <w:proofErr w:type="gramEnd"/>
      <w:r w:rsidRPr="00E064A6">
        <w:rPr>
          <w:rFonts w:ascii="微軟正黑體" w:eastAsia="微軟正黑體" w:hAnsi="微軟正黑體" w:cs="DFYuanStd-W3" w:hint="eastAsia"/>
          <w:kern w:val="0"/>
          <w:szCs w:val="24"/>
        </w:rPr>
        <w:t>CFT指禁止</w:t>
      </w:r>
      <w:proofErr w:type="gramStart"/>
      <w:r w:rsidRPr="00E064A6">
        <w:rPr>
          <w:rFonts w:ascii="微軟正黑體" w:eastAsia="微軟正黑體" w:hAnsi="微軟正黑體" w:cs="DFYuanStd-W3" w:hint="eastAsia"/>
          <w:kern w:val="0"/>
          <w:szCs w:val="24"/>
        </w:rPr>
        <w:t>髒</w:t>
      </w:r>
      <w:proofErr w:type="gramEnd"/>
      <w:r w:rsidRPr="00E064A6">
        <w:rPr>
          <w:rFonts w:ascii="微軟正黑體" w:eastAsia="微軟正黑體" w:hAnsi="微軟正黑體" w:cs="DFYuanStd-W3" w:hint="eastAsia"/>
          <w:kern w:val="0"/>
          <w:szCs w:val="24"/>
        </w:rPr>
        <w:t>錢、乾淨的錢資恐。洗錢行為之防制，旨在打擊犯罪，促進金流之透明，防止洗錢者利用洗錢活動掩飾或隱匿特定犯罪所得財物或利益，妨礙犯罪之追查及打擊。特定之罪為洗錢行為「前置之罪」，洗錢防制法所稱特定犯罪所得，</w:t>
      </w:r>
      <w:proofErr w:type="gramStart"/>
      <w:r w:rsidRPr="00E064A6">
        <w:rPr>
          <w:rFonts w:ascii="微軟正黑體" w:eastAsia="微軟正黑體" w:hAnsi="微軟正黑體" w:cs="DFYuanStd-W3" w:hint="eastAsia"/>
          <w:kern w:val="0"/>
          <w:szCs w:val="24"/>
        </w:rPr>
        <w:t>指犯洗錢</w:t>
      </w:r>
      <w:proofErr w:type="gramEnd"/>
      <w:r w:rsidRPr="00E064A6">
        <w:rPr>
          <w:rFonts w:ascii="微軟正黑體" w:eastAsia="微軟正黑體" w:hAnsi="微軟正黑體" w:cs="DFYuanStd-W3" w:hint="eastAsia"/>
          <w:kern w:val="0"/>
          <w:szCs w:val="24"/>
        </w:rPr>
        <w:t>防制法第三條所列之特定犯罪而取得或變得之財物或財產上利益及其孳息。講者舉多個淺顯易懂的案例來說明「特定犯罪+犯罪所得+漂白行為=洗錢」。</w:t>
      </w:r>
    </w:p>
    <w:p w:rsidR="004A00CF" w:rsidRPr="00E064A6" w:rsidRDefault="004A00CF" w:rsidP="00685CB6">
      <w:pPr>
        <w:autoSpaceDE w:val="0"/>
        <w:autoSpaceDN w:val="0"/>
        <w:spacing w:beforeLines="50" w:before="180" w:line="360" w:lineRule="exact"/>
        <w:rPr>
          <w:rFonts w:ascii="微軟正黑體" w:eastAsia="微軟正黑體" w:hAnsi="微軟正黑體" w:cs="DFYuanStd-W3"/>
          <w:kern w:val="0"/>
          <w:szCs w:val="24"/>
        </w:rPr>
      </w:pPr>
      <w:r w:rsidRPr="00E064A6">
        <w:rPr>
          <w:rFonts w:ascii="微軟正黑體" w:eastAsia="微軟正黑體" w:hAnsi="微軟正黑體" w:cs="DFYuanStd-W3" w:hint="eastAsia"/>
          <w:kern w:val="0"/>
          <w:szCs w:val="24"/>
        </w:rPr>
        <w:t>我國</w:t>
      </w:r>
      <w:proofErr w:type="gramStart"/>
      <w:r w:rsidRPr="00E064A6">
        <w:rPr>
          <w:rFonts w:ascii="微軟正黑體" w:eastAsia="微軟正黑體" w:hAnsi="微軟正黑體" w:cs="DFYuanStd-W3" w:hint="eastAsia"/>
          <w:kern w:val="0"/>
          <w:szCs w:val="24"/>
        </w:rPr>
        <w:t>資恐防</w:t>
      </w:r>
      <w:proofErr w:type="gramEnd"/>
      <w:r w:rsidRPr="00E064A6">
        <w:rPr>
          <w:rFonts w:ascii="微軟正黑體" w:eastAsia="微軟正黑體" w:hAnsi="微軟正黑體" w:cs="DFYuanStd-W3" w:hint="eastAsia"/>
          <w:kern w:val="0"/>
          <w:szCs w:val="24"/>
        </w:rPr>
        <w:t>制法</w:t>
      </w:r>
      <w:proofErr w:type="gramStart"/>
      <w:r w:rsidRPr="00E064A6">
        <w:rPr>
          <w:rFonts w:ascii="微軟正黑體" w:eastAsia="微軟正黑體" w:hAnsi="微軟正黑體" w:cs="DFYuanStd-W3" w:hint="eastAsia"/>
          <w:kern w:val="0"/>
          <w:szCs w:val="24"/>
        </w:rPr>
        <w:t>包含資恐與資助武擴兩大</w:t>
      </w:r>
      <w:proofErr w:type="gramEnd"/>
      <w:r w:rsidRPr="00E064A6">
        <w:rPr>
          <w:rFonts w:ascii="微軟正黑體" w:eastAsia="微軟正黑體" w:hAnsi="微軟正黑體" w:cs="DFYuanStd-W3" w:hint="eastAsia"/>
          <w:kern w:val="0"/>
          <w:szCs w:val="24"/>
        </w:rPr>
        <w:t>概念，</w:t>
      </w:r>
      <w:proofErr w:type="gramStart"/>
      <w:r w:rsidRPr="00E064A6">
        <w:rPr>
          <w:rFonts w:ascii="微軟正黑體" w:eastAsia="微軟正黑體" w:hAnsi="微軟正黑體" w:cs="DFYuanStd-W3" w:hint="eastAsia"/>
          <w:kern w:val="0"/>
          <w:szCs w:val="24"/>
        </w:rPr>
        <w:t>針對資恐與</w:t>
      </w:r>
      <w:proofErr w:type="gramEnd"/>
      <w:r w:rsidRPr="00E064A6">
        <w:rPr>
          <w:rFonts w:ascii="微軟正黑體" w:eastAsia="微軟正黑體" w:hAnsi="微軟正黑體" w:cs="DFYuanStd-W3" w:hint="eastAsia"/>
          <w:kern w:val="0"/>
          <w:szCs w:val="24"/>
        </w:rPr>
        <w:t>資助</w:t>
      </w:r>
      <w:proofErr w:type="gramStart"/>
      <w:r w:rsidRPr="00E064A6">
        <w:rPr>
          <w:rFonts w:ascii="微軟正黑體" w:eastAsia="微軟正黑體" w:hAnsi="微軟正黑體" w:cs="DFYuanStd-W3" w:hint="eastAsia"/>
          <w:kern w:val="0"/>
          <w:szCs w:val="24"/>
        </w:rPr>
        <w:t>武擴都</w:t>
      </w:r>
      <w:proofErr w:type="gramEnd"/>
      <w:r w:rsidRPr="00E064A6">
        <w:rPr>
          <w:rFonts w:ascii="微軟正黑體" w:eastAsia="微軟正黑體" w:hAnsi="微軟正黑體" w:cs="DFYuanStd-W3" w:hint="eastAsia"/>
          <w:kern w:val="0"/>
          <w:szCs w:val="24"/>
        </w:rPr>
        <w:t>有目標性金融制裁與刑事手段，聯合國之目標性制裁措施與我國之法制架構對照如下：一、人流：旅行、漁工、勞工禁令（入出國及移民法）；二、物流：敏感高科技武器、奢侈品、武器、油品禁運（貿易法及緝私條例）；三、金流：金融限制、財產凍結（資恐防制法）。</w:t>
      </w:r>
    </w:p>
    <w:p w:rsidR="00685CB6" w:rsidRDefault="004A00CF" w:rsidP="00685CB6">
      <w:pPr>
        <w:autoSpaceDE w:val="0"/>
        <w:autoSpaceDN w:val="0"/>
        <w:spacing w:beforeLines="50" w:before="180" w:line="360" w:lineRule="exact"/>
        <w:rPr>
          <w:rFonts w:ascii="微軟正黑體" w:eastAsia="微軟正黑體" w:hAnsi="微軟正黑體" w:cs="DFYuanStd-W3" w:hint="eastAsia"/>
          <w:kern w:val="0"/>
          <w:szCs w:val="24"/>
        </w:rPr>
      </w:pPr>
      <w:r w:rsidRPr="00E064A6">
        <w:rPr>
          <w:rFonts w:ascii="微軟正黑體" w:eastAsia="微軟正黑體" w:hAnsi="微軟正黑體" w:cs="DFYuanStd-W3" w:hint="eastAsia"/>
          <w:kern w:val="0"/>
          <w:szCs w:val="24"/>
        </w:rPr>
        <w:t>講者接著說明臺灣公司治理現況是不愛內</w:t>
      </w:r>
      <w:proofErr w:type="gramStart"/>
      <w:r w:rsidRPr="00E064A6">
        <w:rPr>
          <w:rFonts w:ascii="微軟正黑體" w:eastAsia="微軟正黑體" w:hAnsi="微軟正黑體" w:cs="DFYuanStd-W3" w:hint="eastAsia"/>
          <w:kern w:val="0"/>
          <w:szCs w:val="24"/>
        </w:rPr>
        <w:t>稽</w:t>
      </w:r>
      <w:proofErr w:type="gramEnd"/>
      <w:r w:rsidRPr="00E064A6">
        <w:rPr>
          <w:rFonts w:ascii="微軟正黑體" w:eastAsia="微軟正黑體" w:hAnsi="微軟正黑體" w:cs="DFYuanStd-W3" w:hint="eastAsia"/>
          <w:kern w:val="0"/>
          <w:szCs w:val="24"/>
        </w:rPr>
        <w:t>，不</w:t>
      </w:r>
      <w:proofErr w:type="gramStart"/>
      <w:r w:rsidRPr="00E064A6">
        <w:rPr>
          <w:rFonts w:ascii="微軟正黑體" w:eastAsia="微軟正黑體" w:hAnsi="微軟正黑體" w:cs="DFYuanStd-W3" w:hint="eastAsia"/>
          <w:kern w:val="0"/>
          <w:szCs w:val="24"/>
        </w:rPr>
        <w:t>愛風控</w:t>
      </w:r>
      <w:proofErr w:type="gramEnd"/>
      <w:r w:rsidRPr="00E064A6">
        <w:rPr>
          <w:rFonts w:ascii="微軟正黑體" w:eastAsia="微軟正黑體" w:hAnsi="微軟正黑體" w:cs="DFYuanStd-W3" w:hint="eastAsia"/>
          <w:kern w:val="0"/>
          <w:szCs w:val="24"/>
        </w:rPr>
        <w:t>，偏愛業務；不愛法</w:t>
      </w:r>
      <w:proofErr w:type="gramStart"/>
      <w:r w:rsidRPr="00E064A6">
        <w:rPr>
          <w:rFonts w:ascii="微軟正黑體" w:eastAsia="微軟正黑體" w:hAnsi="微軟正黑體" w:cs="DFYuanStd-W3" w:hint="eastAsia"/>
          <w:kern w:val="0"/>
          <w:szCs w:val="24"/>
        </w:rPr>
        <w:t>遵</w:t>
      </w:r>
      <w:proofErr w:type="gramEnd"/>
      <w:r w:rsidRPr="00E064A6">
        <w:rPr>
          <w:rFonts w:ascii="微軟正黑體" w:eastAsia="微軟正黑體" w:hAnsi="微軟正黑體" w:cs="DFYuanStd-W3" w:hint="eastAsia"/>
          <w:kern w:val="0"/>
          <w:szCs w:val="24"/>
        </w:rPr>
        <w:t>，</w:t>
      </w:r>
      <w:r w:rsidRPr="00E064A6">
        <w:rPr>
          <w:rFonts w:ascii="微軟正黑體" w:eastAsia="微軟正黑體" w:hAnsi="微軟正黑體" w:cs="DFYuanStd-W3" w:hint="eastAsia"/>
          <w:kern w:val="0"/>
          <w:szCs w:val="24"/>
        </w:rPr>
        <w:lastRenderedPageBreak/>
        <w:t>不愛法務，偏愛律師；而以風險為本</w:t>
      </w:r>
      <w:proofErr w:type="gramStart"/>
      <w:r w:rsidRPr="00E064A6">
        <w:rPr>
          <w:rFonts w:ascii="微軟正黑體" w:eastAsia="微軟正黑體" w:hAnsi="微軟正黑體" w:cs="DFYuanStd-W3" w:hint="eastAsia"/>
          <w:kern w:val="0"/>
          <w:szCs w:val="24"/>
        </w:rPr>
        <w:t>之</w:t>
      </w:r>
      <w:proofErr w:type="gramEnd"/>
      <w:r w:rsidRPr="00E064A6">
        <w:rPr>
          <w:rFonts w:ascii="微軟正黑體" w:eastAsia="微軟正黑體" w:hAnsi="微軟正黑體" w:cs="DFYuanStd-W3" w:hint="eastAsia"/>
          <w:kern w:val="0"/>
          <w:szCs w:val="24"/>
        </w:rPr>
        <w:t>服務導向是重視法令遵循，以風險為本</w:t>
      </w:r>
      <w:proofErr w:type="gramStart"/>
      <w:r w:rsidRPr="00E064A6">
        <w:rPr>
          <w:rFonts w:ascii="微軟正黑體" w:eastAsia="微軟正黑體" w:hAnsi="微軟正黑體" w:cs="DFYuanStd-W3" w:hint="eastAsia"/>
          <w:kern w:val="0"/>
          <w:szCs w:val="24"/>
        </w:rPr>
        <w:t>之內控</w:t>
      </w:r>
      <w:proofErr w:type="gramEnd"/>
      <w:r w:rsidRPr="00E064A6">
        <w:rPr>
          <w:rFonts w:ascii="微軟正黑體" w:eastAsia="微軟正黑體" w:hAnsi="微軟正黑體" w:cs="DFYuanStd-W3" w:hint="eastAsia"/>
          <w:kern w:val="0"/>
          <w:szCs w:val="24"/>
        </w:rPr>
        <w:t>機制三道防線為業務部門、法</w:t>
      </w:r>
      <w:proofErr w:type="gramStart"/>
      <w:r w:rsidRPr="00E064A6">
        <w:rPr>
          <w:rFonts w:ascii="微軟正黑體" w:eastAsia="微軟正黑體" w:hAnsi="微軟正黑體" w:cs="DFYuanStd-W3" w:hint="eastAsia"/>
          <w:kern w:val="0"/>
          <w:szCs w:val="24"/>
        </w:rPr>
        <w:t>遵</w:t>
      </w:r>
      <w:proofErr w:type="gramEnd"/>
      <w:r w:rsidRPr="00E064A6">
        <w:rPr>
          <w:rFonts w:ascii="微軟正黑體" w:eastAsia="微軟正黑體" w:hAnsi="微軟正黑體" w:cs="DFYuanStd-W3" w:hint="eastAsia"/>
          <w:kern w:val="0"/>
          <w:szCs w:val="24"/>
        </w:rPr>
        <w:t>部門</w:t>
      </w:r>
      <w:proofErr w:type="gramStart"/>
      <w:r w:rsidRPr="00E064A6">
        <w:rPr>
          <w:rFonts w:ascii="微軟正黑體" w:eastAsia="微軟正黑體" w:hAnsi="微軟正黑體" w:cs="DFYuanStd-W3" w:hint="eastAsia"/>
          <w:kern w:val="0"/>
          <w:szCs w:val="24"/>
        </w:rPr>
        <w:t>及風控部門</w:t>
      </w:r>
      <w:proofErr w:type="gramEnd"/>
      <w:r w:rsidRPr="00E064A6">
        <w:rPr>
          <w:rFonts w:ascii="微軟正黑體" w:eastAsia="微軟正黑體" w:hAnsi="微軟正黑體" w:cs="DFYuanStd-W3" w:hint="eastAsia"/>
          <w:kern w:val="0"/>
          <w:szCs w:val="24"/>
        </w:rPr>
        <w:t>（隸屬於總經理）、稽核部門（隸屬於董事會）。</w:t>
      </w:r>
      <w:proofErr w:type="gramStart"/>
      <w:r w:rsidRPr="00E064A6">
        <w:rPr>
          <w:rFonts w:ascii="微軟正黑體" w:eastAsia="微軟正黑體" w:hAnsi="微軟正黑體" w:cs="DFYuanStd-W3" w:hint="eastAsia"/>
          <w:kern w:val="0"/>
          <w:szCs w:val="24"/>
        </w:rPr>
        <w:t>風控機制</w:t>
      </w:r>
      <w:proofErr w:type="gramEnd"/>
      <w:r w:rsidRPr="00E064A6">
        <w:rPr>
          <w:rFonts w:ascii="微軟正黑體" w:eastAsia="微軟正黑體" w:hAnsi="微軟正黑體" w:cs="DFYuanStd-W3" w:hint="eastAsia"/>
          <w:kern w:val="0"/>
          <w:szCs w:val="24"/>
        </w:rPr>
        <w:t>四步驟為風險識別、風險評級、導入風險管理策略以及風險管理之再檢視。</w:t>
      </w:r>
    </w:p>
    <w:p w:rsidR="00685CB6" w:rsidRDefault="004A00CF" w:rsidP="00685CB6">
      <w:pPr>
        <w:autoSpaceDE w:val="0"/>
        <w:autoSpaceDN w:val="0"/>
        <w:spacing w:beforeLines="50" w:before="180" w:line="360" w:lineRule="exact"/>
        <w:rPr>
          <w:rFonts w:ascii="微軟正黑體" w:eastAsia="微軟正黑體" w:hAnsi="微軟正黑體" w:cs="DFYuanStd-W3"/>
          <w:kern w:val="0"/>
          <w:szCs w:val="24"/>
        </w:rPr>
      </w:pPr>
      <w:r w:rsidRPr="00E064A6">
        <w:rPr>
          <w:rFonts w:ascii="微軟正黑體" w:eastAsia="微軟正黑體" w:hAnsi="微軟正黑體" w:cs="DFYuanStd-W3" w:hint="eastAsia"/>
          <w:kern w:val="0"/>
          <w:szCs w:val="24"/>
        </w:rPr>
        <w:t>最後講者說明APG第三輪評鑑過程及成果，我國從2018年5月提出書面報告，之後歷經現地評鑑、面對面會議、專家及會員審查等過程，APG於今年6月正式發布我國第三輪相互評鑑報告，我國在11個效能遵循項目中，取得共計7個項目</w:t>
      </w:r>
      <w:proofErr w:type="gramStart"/>
      <w:r w:rsidRPr="00E064A6">
        <w:rPr>
          <w:rFonts w:ascii="微軟正黑體" w:eastAsia="微軟正黑體" w:hAnsi="微軟正黑體" w:cs="DFYuanStd-W3" w:hint="eastAsia"/>
          <w:kern w:val="0"/>
          <w:szCs w:val="24"/>
        </w:rPr>
        <w:t>（</w:t>
      </w:r>
      <w:proofErr w:type="gramEnd"/>
      <w:r w:rsidRPr="00E064A6">
        <w:rPr>
          <w:rFonts w:ascii="微軟正黑體" w:eastAsia="微軟正黑體" w:hAnsi="微軟正黑體" w:cs="DFYuanStd-W3" w:hint="eastAsia"/>
          <w:kern w:val="0"/>
          <w:szCs w:val="24"/>
        </w:rPr>
        <w:t>風險、政策與協調；國際合作；洗錢</w:t>
      </w:r>
      <w:proofErr w:type="gramStart"/>
      <w:r w:rsidRPr="00E064A6">
        <w:rPr>
          <w:rFonts w:ascii="微軟正黑體" w:eastAsia="微軟正黑體" w:hAnsi="微軟正黑體" w:cs="DFYuanStd-W3" w:hint="eastAsia"/>
          <w:kern w:val="0"/>
          <w:szCs w:val="24"/>
        </w:rPr>
        <w:t>及資恐金融</w:t>
      </w:r>
      <w:proofErr w:type="gramEnd"/>
      <w:r w:rsidRPr="00E064A6">
        <w:rPr>
          <w:rFonts w:ascii="微軟正黑體" w:eastAsia="微軟正黑體" w:hAnsi="微軟正黑體" w:cs="DFYuanStd-W3" w:hint="eastAsia"/>
          <w:kern w:val="0"/>
          <w:szCs w:val="24"/>
        </w:rPr>
        <w:t>情報；沒收；</w:t>
      </w:r>
      <w:proofErr w:type="gramStart"/>
      <w:r w:rsidRPr="00E064A6">
        <w:rPr>
          <w:rFonts w:ascii="微軟正黑體" w:eastAsia="微軟正黑體" w:hAnsi="微軟正黑體" w:cs="DFYuanStd-W3" w:hint="eastAsia"/>
          <w:kern w:val="0"/>
          <w:szCs w:val="24"/>
        </w:rPr>
        <w:t>資恐調查</w:t>
      </w:r>
      <w:proofErr w:type="gramEnd"/>
      <w:r w:rsidRPr="00E064A6">
        <w:rPr>
          <w:rFonts w:ascii="微軟正黑體" w:eastAsia="微軟正黑體" w:hAnsi="微軟正黑體" w:cs="DFYuanStd-W3" w:hint="eastAsia"/>
          <w:kern w:val="0"/>
          <w:szCs w:val="24"/>
        </w:rPr>
        <w:t>與起訴；</w:t>
      </w:r>
      <w:proofErr w:type="gramStart"/>
      <w:r w:rsidRPr="00E064A6">
        <w:rPr>
          <w:rFonts w:ascii="微軟正黑體" w:eastAsia="微軟正黑體" w:hAnsi="微軟正黑體" w:cs="DFYuanStd-W3" w:hint="eastAsia"/>
          <w:kern w:val="0"/>
          <w:szCs w:val="24"/>
        </w:rPr>
        <w:t>資恐防</w:t>
      </w:r>
      <w:proofErr w:type="gramEnd"/>
      <w:r w:rsidRPr="00E064A6">
        <w:rPr>
          <w:rFonts w:ascii="微軟正黑體" w:eastAsia="微軟正黑體" w:hAnsi="微軟正黑體" w:cs="DFYuanStd-W3" w:hint="eastAsia"/>
          <w:kern w:val="0"/>
          <w:szCs w:val="24"/>
        </w:rPr>
        <w:t>制措施與目標性金融制裁；資助</w:t>
      </w:r>
      <w:proofErr w:type="gramStart"/>
      <w:r w:rsidRPr="00E064A6">
        <w:rPr>
          <w:rFonts w:ascii="微軟正黑體" w:eastAsia="微軟正黑體" w:hAnsi="微軟正黑體" w:cs="DFYuanStd-W3" w:hint="eastAsia"/>
          <w:kern w:val="0"/>
          <w:szCs w:val="24"/>
        </w:rPr>
        <w:t>武擴之</w:t>
      </w:r>
      <w:proofErr w:type="gramEnd"/>
      <w:r w:rsidRPr="00E064A6">
        <w:rPr>
          <w:rFonts w:ascii="微軟正黑體" w:eastAsia="微軟正黑體" w:hAnsi="微軟正黑體" w:cs="DFYuanStd-W3" w:hint="eastAsia"/>
          <w:kern w:val="0"/>
          <w:szCs w:val="24"/>
        </w:rPr>
        <w:t>目標性金融制裁</w:t>
      </w:r>
      <w:proofErr w:type="gramStart"/>
      <w:r w:rsidRPr="00E064A6">
        <w:rPr>
          <w:rFonts w:ascii="微軟正黑體" w:eastAsia="微軟正黑體" w:hAnsi="微軟正黑體" w:cs="DFYuanStd-W3" w:hint="eastAsia"/>
          <w:kern w:val="0"/>
          <w:szCs w:val="24"/>
        </w:rPr>
        <w:t>）</w:t>
      </w:r>
      <w:proofErr w:type="gramEnd"/>
      <w:r w:rsidRPr="00E064A6">
        <w:rPr>
          <w:rFonts w:ascii="微軟正黑體" w:eastAsia="微軟正黑體" w:hAnsi="微軟正黑體" w:cs="DFYuanStd-W3" w:hint="eastAsia"/>
          <w:kern w:val="0"/>
          <w:szCs w:val="24"/>
        </w:rPr>
        <w:t>，屬於實質上相當有效（substantial） （標準值為5個以上）；在40個法令遵循項目中，低於未遵循項目者僅7個項目(</w:t>
      </w:r>
      <w:proofErr w:type="gramStart"/>
      <w:r w:rsidRPr="00E064A6">
        <w:rPr>
          <w:rFonts w:ascii="微軟正黑體" w:eastAsia="微軟正黑體" w:hAnsi="微軟正黑體" w:cs="DFYuanStd-W3" w:hint="eastAsia"/>
          <w:kern w:val="0"/>
          <w:szCs w:val="24"/>
        </w:rPr>
        <w:t>標準值係需</w:t>
      </w:r>
      <w:proofErr w:type="gramEnd"/>
      <w:r w:rsidRPr="00E064A6">
        <w:rPr>
          <w:rFonts w:ascii="微軟正黑體" w:eastAsia="微軟正黑體" w:hAnsi="微軟正黑體" w:cs="DFYuanStd-W3" w:hint="eastAsia"/>
          <w:kern w:val="0"/>
          <w:szCs w:val="24"/>
        </w:rPr>
        <w:t>少於8個)，確定達</w:t>
      </w:r>
      <w:proofErr w:type="gramStart"/>
      <w:r w:rsidRPr="00E064A6">
        <w:rPr>
          <w:rFonts w:ascii="微軟正黑體" w:eastAsia="微軟正黑體" w:hAnsi="微軟正黑體" w:cs="DFYuanStd-W3" w:hint="eastAsia"/>
          <w:kern w:val="0"/>
          <w:szCs w:val="24"/>
        </w:rPr>
        <w:t>最佳之</w:t>
      </w:r>
      <w:proofErr w:type="gramEnd"/>
      <w:r w:rsidRPr="00E064A6">
        <w:rPr>
          <w:rFonts w:ascii="微軟正黑體" w:eastAsia="微軟正黑體" w:hAnsi="微軟正黑體" w:cs="DFYuanStd-W3" w:hint="eastAsia"/>
          <w:kern w:val="0"/>
          <w:szCs w:val="24"/>
        </w:rPr>
        <w:t>「一般追蹤等級（regular follow-up）」，比以往評鑑屬於「加強追蹤等級（enhanced follow-up）」，更加進步。該報告轉由國際防制洗錢金融行動組織（FATF）並於8月22日於澳洲坎培拉APG年會大會中，由各會員國提問及</w:t>
      </w:r>
      <w:proofErr w:type="gramStart"/>
      <w:r w:rsidRPr="00E064A6">
        <w:rPr>
          <w:rFonts w:ascii="微軟正黑體" w:eastAsia="微軟正黑體" w:hAnsi="微軟正黑體" w:cs="DFYuanStd-W3" w:hint="eastAsia"/>
          <w:kern w:val="0"/>
          <w:szCs w:val="24"/>
        </w:rPr>
        <w:t>採</w:t>
      </w:r>
      <w:proofErr w:type="gramEnd"/>
      <w:r w:rsidRPr="00E064A6">
        <w:rPr>
          <w:rFonts w:ascii="微軟正黑體" w:eastAsia="微軟正黑體" w:hAnsi="微軟正黑體" w:cs="DFYuanStd-W3" w:hint="eastAsia"/>
          <w:kern w:val="0"/>
          <w:szCs w:val="24"/>
        </w:rPr>
        <w:t>認通過，此評鑑結果待APG經過約6</w:t>
      </w:r>
      <w:proofErr w:type="gramStart"/>
      <w:r w:rsidRPr="00E064A6">
        <w:rPr>
          <w:rFonts w:ascii="微軟正黑體" w:eastAsia="微軟正黑體" w:hAnsi="微軟正黑體" w:cs="DFYuanStd-W3" w:hint="eastAsia"/>
          <w:kern w:val="0"/>
          <w:szCs w:val="24"/>
        </w:rPr>
        <w:t>週</w:t>
      </w:r>
      <w:proofErr w:type="gramEnd"/>
      <w:r w:rsidRPr="00E064A6">
        <w:rPr>
          <w:rFonts w:ascii="微軟正黑體" w:eastAsia="微軟正黑體" w:hAnsi="微軟正黑體" w:cs="DFYuanStd-W3" w:hint="eastAsia"/>
          <w:kern w:val="0"/>
          <w:szCs w:val="24"/>
        </w:rPr>
        <w:t>的法定程序後，即可做最終確認。</w:t>
      </w:r>
    </w:p>
    <w:p w:rsidR="00685CB6" w:rsidRDefault="00685CB6">
      <w:pPr>
        <w:widowControl/>
        <w:rPr>
          <w:rFonts w:ascii="微軟正黑體" w:eastAsia="微軟正黑體" w:hAnsi="微軟正黑體" w:cs="DFYuanStd-W3"/>
          <w:kern w:val="0"/>
          <w:szCs w:val="24"/>
        </w:rPr>
      </w:pPr>
      <w:r>
        <w:rPr>
          <w:rFonts w:ascii="微軟正黑體" w:eastAsia="微軟正黑體" w:hAnsi="微軟正黑體" w:cs="DFYuanStd-W3"/>
          <w:kern w:val="0"/>
          <w:szCs w:val="24"/>
        </w:rPr>
        <w:br w:type="page"/>
      </w:r>
    </w:p>
    <w:p w:rsidR="004A00CF" w:rsidRPr="00E57EEF" w:rsidRDefault="004A00CF" w:rsidP="004A00CF">
      <w:pPr>
        <w:jc w:val="center"/>
        <w:rPr>
          <w:rFonts w:ascii="微軟正黑體" w:eastAsia="微軟正黑體" w:hAnsi="微軟正黑體" w:cs="DFYuanStd-W5"/>
          <w:b/>
          <w:color w:val="FFFFFF" w:themeColor="background1"/>
          <w:kern w:val="0"/>
          <w:sz w:val="27"/>
          <w:szCs w:val="27"/>
          <w:highlight w:val="blue"/>
        </w:rPr>
      </w:pPr>
      <w:r w:rsidRPr="00E57EEF">
        <w:rPr>
          <w:rFonts w:ascii="微軟正黑體" w:eastAsia="微軟正黑體" w:hAnsi="微軟正黑體" w:cs="DFYuanStd-W5" w:hint="eastAsia"/>
          <w:b/>
          <w:color w:val="FFFFFF" w:themeColor="background1"/>
          <w:kern w:val="0"/>
          <w:sz w:val="27"/>
          <w:szCs w:val="27"/>
          <w:highlight w:val="blue"/>
        </w:rPr>
        <w:lastRenderedPageBreak/>
        <w:t>「洗錢防制及</w:t>
      </w:r>
      <w:proofErr w:type="gramStart"/>
      <w:r w:rsidRPr="00E57EEF">
        <w:rPr>
          <w:rFonts w:ascii="微軟正黑體" w:eastAsia="微軟正黑體" w:hAnsi="微軟正黑體" w:cs="DFYuanStd-W5" w:hint="eastAsia"/>
          <w:b/>
          <w:color w:val="FFFFFF" w:themeColor="background1"/>
          <w:kern w:val="0"/>
          <w:sz w:val="27"/>
          <w:szCs w:val="27"/>
          <w:highlight w:val="blue"/>
        </w:rPr>
        <w:t>打擊資恐法令</w:t>
      </w:r>
      <w:proofErr w:type="gramEnd"/>
      <w:r w:rsidRPr="00E57EEF">
        <w:rPr>
          <w:rFonts w:ascii="微軟正黑體" w:eastAsia="微軟正黑體" w:hAnsi="微軟正黑體" w:cs="DFYuanStd-W5" w:hint="eastAsia"/>
          <w:b/>
          <w:color w:val="FFFFFF" w:themeColor="background1"/>
          <w:kern w:val="0"/>
          <w:sz w:val="27"/>
          <w:szCs w:val="27"/>
          <w:highlight w:val="blue"/>
        </w:rPr>
        <w:t>解析及案例」說明會</w:t>
      </w:r>
    </w:p>
    <w:p w:rsidR="004A00CF" w:rsidRPr="00A213A2" w:rsidRDefault="004A00CF" w:rsidP="004A00CF">
      <w:pPr>
        <w:jc w:val="center"/>
        <w:rPr>
          <w:rFonts w:asciiTheme="minorEastAsia" w:hAnsiTheme="minorEastAsia"/>
          <w:szCs w:val="24"/>
        </w:rPr>
      </w:pPr>
      <w:r w:rsidRPr="00E57EEF">
        <w:rPr>
          <w:rFonts w:ascii="微軟正黑體" w:eastAsia="微軟正黑體" w:hAnsi="微軟正黑體" w:cs="DFYuanStd-W5" w:hint="eastAsia"/>
          <w:b/>
          <w:color w:val="FFFFFF" w:themeColor="background1"/>
          <w:kern w:val="0"/>
          <w:sz w:val="27"/>
          <w:szCs w:val="27"/>
          <w:highlight w:val="blue"/>
        </w:rPr>
        <w:t>~從風險評估看可疑交易申報作業~</w:t>
      </w:r>
    </w:p>
    <w:p w:rsidR="004A00CF" w:rsidRPr="00A213A2" w:rsidRDefault="004A00CF" w:rsidP="004A00CF">
      <w:pPr>
        <w:jc w:val="right"/>
        <w:rPr>
          <w:rFonts w:asciiTheme="minorEastAsia" w:hAnsiTheme="minorEastAsia"/>
          <w:szCs w:val="24"/>
        </w:rPr>
      </w:pPr>
      <w:r>
        <w:rPr>
          <w:rFonts w:asciiTheme="minorEastAsia" w:hAnsiTheme="minorEastAsia" w:hint="eastAsia"/>
          <w:szCs w:val="24"/>
        </w:rPr>
        <w:t>108</w:t>
      </w:r>
      <w:r w:rsidRPr="00A213A2">
        <w:rPr>
          <w:rFonts w:asciiTheme="minorEastAsia" w:hAnsiTheme="minorEastAsia" w:hint="eastAsia"/>
          <w:szCs w:val="24"/>
        </w:rPr>
        <w:t>年</w:t>
      </w:r>
      <w:r>
        <w:rPr>
          <w:rFonts w:asciiTheme="minorEastAsia" w:hAnsiTheme="minorEastAsia" w:hint="eastAsia"/>
          <w:szCs w:val="24"/>
        </w:rPr>
        <w:t>4</w:t>
      </w:r>
      <w:r w:rsidRPr="00A213A2">
        <w:rPr>
          <w:rFonts w:asciiTheme="minorEastAsia" w:hAnsiTheme="minorEastAsia" w:hint="eastAsia"/>
          <w:szCs w:val="24"/>
        </w:rPr>
        <w:t>月刊會訊報導</w:t>
      </w:r>
    </w:p>
    <w:p w:rsidR="004A00CF" w:rsidRDefault="004A00CF" w:rsidP="004A00CF">
      <w:pPr>
        <w:autoSpaceDE w:val="0"/>
        <w:autoSpaceDN w:val="0"/>
        <w:spacing w:beforeLines="50" w:before="180"/>
        <w:ind w:rightChars="-24" w:right="-58"/>
        <w:jc w:val="center"/>
        <w:rPr>
          <w:rFonts w:ascii="微軟正黑體" w:eastAsia="微軟正黑體" w:hAnsi="微軟正黑體"/>
          <w:szCs w:val="24"/>
        </w:rPr>
      </w:pPr>
      <w:r>
        <w:rPr>
          <w:rFonts w:ascii="微軟正黑體" w:eastAsia="微軟正黑體" w:hAnsi="微軟正黑體" w:hint="eastAsia"/>
          <w:noProof/>
          <w:szCs w:val="24"/>
        </w:rPr>
        <w:drawing>
          <wp:inline distT="0" distB="0" distL="0" distR="0" wp14:anchorId="4E26DE7A" wp14:editId="4431D37A">
            <wp:extent cx="4565564" cy="2567515"/>
            <wp:effectExtent l="0" t="0" r="6985"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7438" cy="2568569"/>
                    </a:xfrm>
                    <a:prstGeom prst="rect">
                      <a:avLst/>
                    </a:prstGeom>
                    <a:noFill/>
                    <a:ln>
                      <a:noFill/>
                    </a:ln>
                  </pic:spPr>
                </pic:pic>
              </a:graphicData>
            </a:graphic>
          </wp:inline>
        </w:drawing>
      </w:r>
    </w:p>
    <w:p w:rsidR="004A00CF" w:rsidRPr="00E57EEF" w:rsidRDefault="004A00CF" w:rsidP="004A00CF">
      <w:pPr>
        <w:autoSpaceDE w:val="0"/>
        <w:autoSpaceDN w:val="0"/>
        <w:spacing w:beforeLines="50" w:before="180" w:line="360" w:lineRule="exact"/>
        <w:rPr>
          <w:rFonts w:ascii="微軟正黑體" w:eastAsia="微軟正黑體" w:hAnsi="微軟正黑體" w:cs="DFYuanStd-W3"/>
          <w:kern w:val="0"/>
          <w:szCs w:val="24"/>
        </w:rPr>
      </w:pPr>
      <w:r w:rsidRPr="00E57EEF">
        <w:rPr>
          <w:rFonts w:ascii="微軟正黑體" w:eastAsia="微軟正黑體" w:hAnsi="微軟正黑體" w:cs="DFYuanStd-W3" w:hint="eastAsia"/>
          <w:kern w:val="0"/>
          <w:szCs w:val="24"/>
        </w:rPr>
        <w:t>為強化期貨從業人員辨識風險及可疑交易申報作業成效，本公會3月份分別於台中、高雄及台北舉辦「洗錢防制及</w:t>
      </w:r>
      <w:proofErr w:type="gramStart"/>
      <w:r w:rsidRPr="00E57EEF">
        <w:rPr>
          <w:rFonts w:ascii="微軟正黑體" w:eastAsia="微軟正黑體" w:hAnsi="微軟正黑體" w:cs="DFYuanStd-W3" w:hint="eastAsia"/>
          <w:kern w:val="0"/>
          <w:szCs w:val="24"/>
        </w:rPr>
        <w:t>打擊資恐法令</w:t>
      </w:r>
      <w:proofErr w:type="gramEnd"/>
      <w:r w:rsidRPr="00E57EEF">
        <w:rPr>
          <w:rFonts w:ascii="微軟正黑體" w:eastAsia="微軟正黑體" w:hAnsi="微軟正黑體" w:cs="DFYuanStd-W3" w:hint="eastAsia"/>
          <w:kern w:val="0"/>
          <w:szCs w:val="24"/>
        </w:rPr>
        <w:t>解析及案例」說明會，邀請法務部調查局洗錢</w:t>
      </w:r>
      <w:proofErr w:type="gramStart"/>
      <w:r w:rsidRPr="00E57EEF">
        <w:rPr>
          <w:rFonts w:ascii="微軟正黑體" w:eastAsia="微軟正黑體" w:hAnsi="微軟正黑體" w:cs="DFYuanStd-W3" w:hint="eastAsia"/>
          <w:kern w:val="0"/>
          <w:szCs w:val="24"/>
        </w:rPr>
        <w:t>防制處主講</w:t>
      </w:r>
      <w:proofErr w:type="gramEnd"/>
      <w:r w:rsidRPr="00E57EEF">
        <w:rPr>
          <w:rFonts w:ascii="微軟正黑體" w:eastAsia="微軟正黑體" w:hAnsi="微軟正黑體" w:cs="DFYuanStd-W3" w:hint="eastAsia"/>
          <w:kern w:val="0"/>
          <w:szCs w:val="24"/>
        </w:rPr>
        <w:t>從風險評估看可疑交易申報作業，去識別化分享防制洗錢及打擊</w:t>
      </w:r>
      <w:proofErr w:type="gramStart"/>
      <w:r w:rsidRPr="00E57EEF">
        <w:rPr>
          <w:rFonts w:ascii="微軟正黑體" w:eastAsia="微軟正黑體" w:hAnsi="微軟正黑體" w:cs="DFYuanStd-W3" w:hint="eastAsia"/>
          <w:kern w:val="0"/>
          <w:szCs w:val="24"/>
        </w:rPr>
        <w:t>資恐態樣及</w:t>
      </w:r>
      <w:proofErr w:type="gramEnd"/>
      <w:r w:rsidRPr="00E57EEF">
        <w:rPr>
          <w:rFonts w:ascii="微軟正黑體" w:eastAsia="微軟正黑體" w:hAnsi="微軟正黑體" w:cs="DFYuanStd-W3" w:hint="eastAsia"/>
          <w:kern w:val="0"/>
          <w:szCs w:val="24"/>
        </w:rPr>
        <w:t>相關實務經驗，並與從業人員進行意見交流，3場說明會場</w:t>
      </w:r>
      <w:proofErr w:type="gramStart"/>
      <w:r w:rsidRPr="00E57EEF">
        <w:rPr>
          <w:rFonts w:ascii="微軟正黑體" w:eastAsia="微軟正黑體" w:hAnsi="微軟正黑體" w:cs="DFYuanStd-W3" w:hint="eastAsia"/>
          <w:kern w:val="0"/>
          <w:szCs w:val="24"/>
        </w:rPr>
        <w:t>場</w:t>
      </w:r>
      <w:proofErr w:type="gramEnd"/>
      <w:r w:rsidRPr="00E57EEF">
        <w:rPr>
          <w:rFonts w:ascii="微軟正黑體" w:eastAsia="微軟正黑體" w:hAnsi="微軟正黑體" w:cs="DFYuanStd-W3" w:hint="eastAsia"/>
          <w:kern w:val="0"/>
          <w:szCs w:val="24"/>
        </w:rPr>
        <w:t>爆滿，參加情形非常踴躍、座無虛席。</w:t>
      </w:r>
    </w:p>
    <w:p w:rsidR="004A00CF" w:rsidRPr="00E57EEF" w:rsidRDefault="004A00CF" w:rsidP="004A00CF">
      <w:pPr>
        <w:autoSpaceDE w:val="0"/>
        <w:autoSpaceDN w:val="0"/>
        <w:spacing w:beforeLines="50" w:before="180" w:line="360" w:lineRule="exact"/>
        <w:rPr>
          <w:rFonts w:ascii="微軟正黑體" w:eastAsia="微軟正黑體" w:hAnsi="微軟正黑體" w:cs="DFYuanStd-W3"/>
          <w:kern w:val="0"/>
          <w:szCs w:val="24"/>
        </w:rPr>
      </w:pPr>
      <w:r w:rsidRPr="00E57EEF">
        <w:rPr>
          <w:rFonts w:ascii="微軟正黑體" w:eastAsia="微軟正黑體" w:hAnsi="微軟正黑體" w:cs="DFYuanStd-W3" w:hint="eastAsia"/>
          <w:kern w:val="0"/>
          <w:szCs w:val="24"/>
        </w:rPr>
        <w:t>從業人員要辨識及評估洗錢</w:t>
      </w:r>
      <w:proofErr w:type="gramStart"/>
      <w:r w:rsidRPr="00E57EEF">
        <w:rPr>
          <w:rFonts w:ascii="微軟正黑體" w:eastAsia="微軟正黑體" w:hAnsi="微軟正黑體" w:cs="DFYuanStd-W3" w:hint="eastAsia"/>
          <w:kern w:val="0"/>
          <w:szCs w:val="24"/>
        </w:rPr>
        <w:t>及資恐風險</w:t>
      </w:r>
      <w:proofErr w:type="gramEnd"/>
      <w:r w:rsidRPr="00E57EEF">
        <w:rPr>
          <w:rFonts w:ascii="微軟正黑體" w:eastAsia="微軟正黑體" w:hAnsi="微軟正黑體" w:cs="DFYuanStd-W3" w:hint="eastAsia"/>
          <w:kern w:val="0"/>
          <w:szCs w:val="24"/>
        </w:rPr>
        <w:t>首先要瞭解何謂洗錢</w:t>
      </w:r>
      <w:proofErr w:type="gramStart"/>
      <w:r w:rsidRPr="00E57EEF">
        <w:rPr>
          <w:rFonts w:ascii="微軟正黑體" w:eastAsia="微軟正黑體" w:hAnsi="微軟正黑體" w:cs="DFYuanStd-W3" w:hint="eastAsia"/>
          <w:kern w:val="0"/>
          <w:szCs w:val="24"/>
        </w:rPr>
        <w:t>及資恐風險</w:t>
      </w:r>
      <w:proofErr w:type="gramEnd"/>
      <w:r w:rsidRPr="00E57EEF">
        <w:rPr>
          <w:rFonts w:ascii="微軟正黑體" w:eastAsia="微軟正黑體" w:hAnsi="微軟正黑體" w:cs="DFYuanStd-W3" w:hint="eastAsia"/>
          <w:kern w:val="0"/>
          <w:szCs w:val="24"/>
        </w:rPr>
        <w:t>，洗錢：特定犯罪之犯罪所得所為之清洗行為，以洗錢防制法第3條所稱特定犯罪所得之洗錢行為（包括本人及他人協助移轉變更、掩飾隱匿、收受持有等行為）；</w:t>
      </w:r>
      <w:proofErr w:type="gramStart"/>
      <w:r w:rsidRPr="00E57EEF">
        <w:rPr>
          <w:rFonts w:ascii="微軟正黑體" w:eastAsia="微軟正黑體" w:hAnsi="微軟正黑體" w:cs="DFYuanStd-W3" w:hint="eastAsia"/>
          <w:kern w:val="0"/>
          <w:szCs w:val="24"/>
        </w:rPr>
        <w:t>資恐：</w:t>
      </w:r>
      <w:proofErr w:type="gramEnd"/>
      <w:r w:rsidRPr="00E57EEF">
        <w:rPr>
          <w:rFonts w:ascii="微軟正黑體" w:eastAsia="微軟正黑體" w:hAnsi="微軟正黑體" w:cs="DFYuanStd-W3" w:hint="eastAsia"/>
          <w:kern w:val="0"/>
          <w:szCs w:val="24"/>
        </w:rPr>
        <w:t>明知為</w:t>
      </w:r>
      <w:proofErr w:type="gramStart"/>
      <w:r w:rsidRPr="00E57EEF">
        <w:rPr>
          <w:rFonts w:ascii="微軟正黑體" w:eastAsia="微軟正黑體" w:hAnsi="微軟正黑體" w:cs="DFYuanStd-W3" w:hint="eastAsia"/>
          <w:kern w:val="0"/>
          <w:szCs w:val="24"/>
        </w:rPr>
        <w:t>依資恐防</w:t>
      </w:r>
      <w:proofErr w:type="gramEnd"/>
      <w:r w:rsidRPr="00E57EEF">
        <w:rPr>
          <w:rFonts w:ascii="微軟正黑體" w:eastAsia="微軟正黑體" w:hAnsi="微軟正黑體" w:cs="DFYuanStd-W3" w:hint="eastAsia"/>
          <w:kern w:val="0"/>
          <w:szCs w:val="24"/>
        </w:rPr>
        <w:t>制法公告之制裁名單，仍直接或間接為其收集或提供財物或財產上利益。</w:t>
      </w:r>
    </w:p>
    <w:p w:rsidR="004A00CF" w:rsidRPr="00E57EEF" w:rsidRDefault="004A00CF" w:rsidP="004A00CF">
      <w:pPr>
        <w:autoSpaceDE w:val="0"/>
        <w:autoSpaceDN w:val="0"/>
        <w:spacing w:beforeLines="50" w:before="180" w:line="360" w:lineRule="exact"/>
        <w:rPr>
          <w:rFonts w:ascii="微軟正黑體" w:eastAsia="微軟正黑體" w:hAnsi="微軟正黑體" w:cs="DFYuanStd-W3"/>
          <w:kern w:val="0"/>
          <w:szCs w:val="24"/>
        </w:rPr>
      </w:pPr>
      <w:proofErr w:type="gramStart"/>
      <w:r w:rsidRPr="00E57EEF">
        <w:rPr>
          <w:rFonts w:ascii="微軟正黑體" w:eastAsia="微軟正黑體" w:hAnsi="微軟正黑體" w:cs="DFYuanStd-W3" w:hint="eastAsia"/>
          <w:kern w:val="0"/>
          <w:szCs w:val="24"/>
        </w:rPr>
        <w:t>依防制</w:t>
      </w:r>
      <w:proofErr w:type="gramEnd"/>
      <w:r w:rsidRPr="00E57EEF">
        <w:rPr>
          <w:rFonts w:ascii="微軟正黑體" w:eastAsia="微軟正黑體" w:hAnsi="微軟正黑體" w:cs="DFYuanStd-W3" w:hint="eastAsia"/>
          <w:kern w:val="0"/>
          <w:szCs w:val="24"/>
        </w:rPr>
        <w:t>洗錢金融行動工作組織FATA公布之40項建議，其中與金融機構較為相關者為客戶審查、交易紀錄保存及可疑交易申報等。金融機構以風險基礎方法為原則，以適當措施辨識、評估及瞭解洗錢</w:t>
      </w:r>
      <w:proofErr w:type="gramStart"/>
      <w:r w:rsidRPr="00E57EEF">
        <w:rPr>
          <w:rFonts w:ascii="微軟正黑體" w:eastAsia="微軟正黑體" w:hAnsi="微軟正黑體" w:cs="DFYuanStd-W3" w:hint="eastAsia"/>
          <w:kern w:val="0"/>
          <w:szCs w:val="24"/>
        </w:rPr>
        <w:t>及資恐風險</w:t>
      </w:r>
      <w:proofErr w:type="gramEnd"/>
      <w:r w:rsidRPr="00E57EEF">
        <w:rPr>
          <w:rFonts w:ascii="微軟正黑體" w:eastAsia="微軟正黑體" w:hAnsi="微軟正黑體" w:cs="DFYuanStd-W3" w:hint="eastAsia"/>
          <w:kern w:val="0"/>
          <w:szCs w:val="24"/>
        </w:rPr>
        <w:t>，並採取抵減措施以降低風險，蒐集客戶資料、資金來源及交易情形相關資料後，加以量化及質化分析，設置交易</w:t>
      </w:r>
      <w:proofErr w:type="gramStart"/>
      <w:r w:rsidRPr="00E57EEF">
        <w:rPr>
          <w:rFonts w:ascii="微軟正黑體" w:eastAsia="微軟正黑體" w:hAnsi="微軟正黑體" w:cs="DFYuanStd-W3" w:hint="eastAsia"/>
          <w:kern w:val="0"/>
          <w:szCs w:val="24"/>
        </w:rPr>
        <w:t>警示態樣</w:t>
      </w:r>
      <w:proofErr w:type="gramEnd"/>
      <w:r w:rsidRPr="00E57EEF">
        <w:rPr>
          <w:rFonts w:ascii="微軟正黑體" w:eastAsia="微軟正黑體" w:hAnsi="微軟正黑體" w:cs="DFYuanStd-W3" w:hint="eastAsia"/>
          <w:kern w:val="0"/>
          <w:szCs w:val="24"/>
        </w:rPr>
        <w:t>監控，達到警示並屬於可疑交易時，應進行申報。風險評估是滾動式程序不斷循環，資料需隨時更新，定期評估檢討。</w:t>
      </w:r>
    </w:p>
    <w:p w:rsidR="004A00CF" w:rsidRPr="00E57EEF" w:rsidRDefault="004A00CF" w:rsidP="004A00CF">
      <w:pPr>
        <w:autoSpaceDE w:val="0"/>
        <w:autoSpaceDN w:val="0"/>
        <w:spacing w:beforeLines="50" w:before="180" w:line="360" w:lineRule="exact"/>
        <w:rPr>
          <w:rFonts w:ascii="微軟正黑體" w:eastAsia="微軟正黑體" w:hAnsi="微軟正黑體" w:cs="DFYuanStd-W3"/>
          <w:kern w:val="0"/>
          <w:szCs w:val="24"/>
        </w:rPr>
      </w:pPr>
      <w:r w:rsidRPr="00E57EEF">
        <w:rPr>
          <w:rFonts w:ascii="微軟正黑體" w:eastAsia="微軟正黑體" w:hAnsi="微軟正黑體" w:cs="DFYuanStd-W3" w:hint="eastAsia"/>
          <w:kern w:val="0"/>
          <w:szCs w:val="24"/>
        </w:rPr>
        <w:t>國家洗錢</w:t>
      </w:r>
      <w:proofErr w:type="gramStart"/>
      <w:r w:rsidRPr="00E57EEF">
        <w:rPr>
          <w:rFonts w:ascii="微軟正黑體" w:eastAsia="微軟正黑體" w:hAnsi="微軟正黑體" w:cs="DFYuanStd-W3" w:hint="eastAsia"/>
          <w:kern w:val="0"/>
          <w:szCs w:val="24"/>
        </w:rPr>
        <w:t>及資恐風險</w:t>
      </w:r>
      <w:proofErr w:type="gramEnd"/>
      <w:r w:rsidRPr="00E57EEF">
        <w:rPr>
          <w:rFonts w:ascii="微軟正黑體" w:eastAsia="微軟正黑體" w:hAnsi="微軟正黑體" w:cs="DFYuanStd-W3" w:hint="eastAsia"/>
          <w:kern w:val="0"/>
          <w:szCs w:val="24"/>
        </w:rPr>
        <w:t>評估結果期貨商屬中風險，具有洗錢非常高度犯罪威脅包含毒品販運、詐欺、組織犯罪、貪污賄賂、走私、證券犯罪、第三方洗錢、稅務犯罪等，對於洗錢</w:t>
      </w:r>
      <w:proofErr w:type="gramStart"/>
      <w:r w:rsidRPr="00E57EEF">
        <w:rPr>
          <w:rFonts w:ascii="微軟正黑體" w:eastAsia="微軟正黑體" w:hAnsi="微軟正黑體" w:cs="DFYuanStd-W3" w:hint="eastAsia"/>
          <w:kern w:val="0"/>
          <w:szCs w:val="24"/>
        </w:rPr>
        <w:t>及資恐風險</w:t>
      </w:r>
      <w:proofErr w:type="gramEnd"/>
      <w:r w:rsidRPr="00E57EEF">
        <w:rPr>
          <w:rFonts w:ascii="微軟正黑體" w:eastAsia="微軟正黑體" w:hAnsi="微軟正黑體" w:cs="DFYuanStd-W3" w:hint="eastAsia"/>
          <w:kern w:val="0"/>
          <w:szCs w:val="24"/>
        </w:rPr>
        <w:t>所採取之抵減措施包括刑事防制、行政防制及國際合</w:t>
      </w:r>
      <w:r w:rsidRPr="00E57EEF">
        <w:rPr>
          <w:rFonts w:ascii="微軟正黑體" w:eastAsia="微軟正黑體" w:hAnsi="微軟正黑體" w:cs="DFYuanStd-W3" w:hint="eastAsia"/>
          <w:kern w:val="0"/>
          <w:szCs w:val="24"/>
        </w:rPr>
        <w:lastRenderedPageBreak/>
        <w:t>作。於說明會中，講師以多個實際案例</w:t>
      </w:r>
      <w:proofErr w:type="gramStart"/>
      <w:r w:rsidRPr="00E57EEF">
        <w:rPr>
          <w:rFonts w:ascii="微軟正黑體" w:eastAsia="微軟正黑體" w:hAnsi="微軟正黑體" w:cs="DFYuanStd-W3" w:hint="eastAsia"/>
          <w:kern w:val="0"/>
          <w:szCs w:val="24"/>
        </w:rPr>
        <w:t>來作</w:t>
      </w:r>
      <w:proofErr w:type="gramEnd"/>
      <w:r w:rsidRPr="00E57EEF">
        <w:rPr>
          <w:rFonts w:ascii="微軟正黑體" w:eastAsia="微軟正黑體" w:hAnsi="微軟正黑體" w:cs="DFYuanStd-W3" w:hint="eastAsia"/>
          <w:kern w:val="0"/>
          <w:szCs w:val="24"/>
        </w:rPr>
        <w:t>精闢說明，另外調查局洗錢</w:t>
      </w:r>
      <w:proofErr w:type="gramStart"/>
      <w:r w:rsidRPr="00E57EEF">
        <w:rPr>
          <w:rFonts w:ascii="微軟正黑體" w:eastAsia="微軟正黑體" w:hAnsi="微軟正黑體" w:cs="DFYuanStd-W3" w:hint="eastAsia"/>
          <w:kern w:val="0"/>
          <w:szCs w:val="24"/>
        </w:rPr>
        <w:t>防制處針對</w:t>
      </w:r>
      <w:proofErr w:type="gramEnd"/>
      <w:r w:rsidRPr="00E57EEF">
        <w:rPr>
          <w:rFonts w:ascii="微軟正黑體" w:eastAsia="微軟正黑體" w:hAnsi="微軟正黑體" w:cs="DFYuanStd-W3" w:hint="eastAsia"/>
          <w:kern w:val="0"/>
          <w:szCs w:val="24"/>
        </w:rPr>
        <w:t>上述犯罪態</w:t>
      </w:r>
      <w:proofErr w:type="gramStart"/>
      <w:r w:rsidRPr="00E57EEF">
        <w:rPr>
          <w:rFonts w:ascii="微軟正黑體" w:eastAsia="微軟正黑體" w:hAnsi="微軟正黑體" w:cs="DFYuanStd-W3" w:hint="eastAsia"/>
          <w:kern w:val="0"/>
          <w:szCs w:val="24"/>
        </w:rPr>
        <w:t>樣於官網</w:t>
      </w:r>
      <w:proofErr w:type="gramEnd"/>
      <w:r w:rsidRPr="00E57EEF">
        <w:rPr>
          <w:rFonts w:ascii="微軟正黑體" w:eastAsia="微軟正黑體" w:hAnsi="微軟正黑體" w:cs="DFYuanStd-W3" w:hint="eastAsia"/>
          <w:kern w:val="0"/>
          <w:szCs w:val="24"/>
        </w:rPr>
        <w:t>有案例分享金融情報中心（FIU）負責金融機構申報疑似洗錢交易資料之受理、分析、處理及運用，以及</w:t>
      </w:r>
      <w:proofErr w:type="gramStart"/>
      <w:r w:rsidRPr="00E57EEF">
        <w:rPr>
          <w:rFonts w:ascii="微軟正黑體" w:eastAsia="微軟正黑體" w:hAnsi="微軟正黑體" w:cs="DFYuanStd-W3" w:hint="eastAsia"/>
          <w:kern w:val="0"/>
          <w:szCs w:val="24"/>
        </w:rPr>
        <w:t>受理資恐通報</w:t>
      </w:r>
      <w:proofErr w:type="gramEnd"/>
      <w:r w:rsidRPr="00E57EEF">
        <w:rPr>
          <w:rFonts w:ascii="微軟正黑體" w:eastAsia="微軟正黑體" w:hAnsi="微軟正黑體" w:cs="DFYuanStd-W3" w:hint="eastAsia"/>
          <w:kern w:val="0"/>
          <w:szCs w:val="24"/>
        </w:rPr>
        <w:t>。講師以洗錢</w:t>
      </w:r>
      <w:proofErr w:type="gramStart"/>
      <w:r w:rsidRPr="00E57EEF">
        <w:rPr>
          <w:rFonts w:ascii="微軟正黑體" w:eastAsia="微軟正黑體" w:hAnsi="微軟正黑體" w:cs="DFYuanStd-W3" w:hint="eastAsia"/>
          <w:kern w:val="0"/>
          <w:szCs w:val="24"/>
        </w:rPr>
        <w:t>防制處</w:t>
      </w:r>
      <w:proofErr w:type="gramEnd"/>
      <w:r w:rsidRPr="00E57EEF">
        <w:rPr>
          <w:rFonts w:ascii="微軟正黑體" w:eastAsia="微軟正黑體" w:hAnsi="微軟正黑體" w:cs="DFYuanStd-W3" w:hint="eastAsia"/>
          <w:kern w:val="0"/>
          <w:szCs w:val="24"/>
        </w:rPr>
        <w:t>（金融情報中心FIU）之風險評估角度說明收到金融機構通報之可疑交易案件STR時如何選案及風險分級，洗錢行為是一個多層化行為，犯罪所得會以多種方式隱匿，金融機構是</w:t>
      </w:r>
      <w:proofErr w:type="gramStart"/>
      <w:r w:rsidRPr="00E57EEF">
        <w:rPr>
          <w:rFonts w:ascii="微軟正黑體" w:eastAsia="微軟正黑體" w:hAnsi="微軟正黑體" w:cs="DFYuanStd-W3" w:hint="eastAsia"/>
          <w:kern w:val="0"/>
          <w:szCs w:val="24"/>
        </w:rPr>
        <w:t>金融情資原料</w:t>
      </w:r>
      <w:proofErr w:type="gramEnd"/>
      <w:r w:rsidRPr="00E57EEF">
        <w:rPr>
          <w:rFonts w:ascii="微軟正黑體" w:eastAsia="微軟正黑體" w:hAnsi="微軟正黑體" w:cs="DFYuanStd-W3" w:hint="eastAsia"/>
          <w:kern w:val="0"/>
          <w:szCs w:val="24"/>
        </w:rPr>
        <w:t>供應商，將可疑交易報告送到洗錢</w:t>
      </w:r>
      <w:proofErr w:type="gramStart"/>
      <w:r w:rsidRPr="00E57EEF">
        <w:rPr>
          <w:rFonts w:ascii="微軟正黑體" w:eastAsia="微軟正黑體" w:hAnsi="微軟正黑體" w:cs="DFYuanStd-W3" w:hint="eastAsia"/>
          <w:kern w:val="0"/>
          <w:szCs w:val="24"/>
        </w:rPr>
        <w:t>防制處</w:t>
      </w:r>
      <w:proofErr w:type="gramEnd"/>
      <w:r w:rsidRPr="00E57EEF">
        <w:rPr>
          <w:rFonts w:ascii="微軟正黑體" w:eastAsia="微軟正黑體" w:hAnsi="微軟正黑體" w:cs="DFYuanStd-W3" w:hint="eastAsia"/>
          <w:kern w:val="0"/>
          <w:szCs w:val="24"/>
        </w:rPr>
        <w:t>，洗錢防</w:t>
      </w:r>
      <w:proofErr w:type="gramStart"/>
      <w:r w:rsidRPr="00E57EEF">
        <w:rPr>
          <w:rFonts w:ascii="微軟正黑體" w:eastAsia="微軟正黑體" w:hAnsi="微軟正黑體" w:cs="DFYuanStd-W3" w:hint="eastAsia"/>
          <w:kern w:val="0"/>
          <w:szCs w:val="24"/>
        </w:rPr>
        <w:t>制處收到情資</w:t>
      </w:r>
      <w:proofErr w:type="gramEnd"/>
      <w:r w:rsidRPr="00E57EEF">
        <w:rPr>
          <w:rFonts w:ascii="微軟正黑體" w:eastAsia="微軟正黑體" w:hAnsi="微軟正黑體" w:cs="DFYuanStd-W3" w:hint="eastAsia"/>
          <w:kern w:val="0"/>
          <w:szCs w:val="24"/>
        </w:rPr>
        <w:t>後加工（參考其他部門申報資訊），加值分析後認為有涉及不法，會優先將案件分送給執法單位或稅捐機關處理運用；對於尚未分送運用</w:t>
      </w:r>
      <w:proofErr w:type="gramStart"/>
      <w:r w:rsidRPr="00E57EEF">
        <w:rPr>
          <w:rFonts w:ascii="微軟正黑體" w:eastAsia="微軟正黑體" w:hAnsi="微軟正黑體" w:cs="DFYuanStd-W3" w:hint="eastAsia"/>
          <w:kern w:val="0"/>
          <w:szCs w:val="24"/>
        </w:rPr>
        <w:t>之情資</w:t>
      </w:r>
      <w:proofErr w:type="gramEnd"/>
      <w:r w:rsidRPr="00E57EEF">
        <w:rPr>
          <w:rFonts w:ascii="微軟正黑體" w:eastAsia="微軟正黑體" w:hAnsi="微軟正黑體" w:cs="DFYuanStd-W3" w:hint="eastAsia"/>
          <w:kern w:val="0"/>
          <w:szCs w:val="24"/>
        </w:rPr>
        <w:t>，會先將資料存放於系統以備日後加值運用。</w:t>
      </w:r>
    </w:p>
    <w:p w:rsidR="00685CB6" w:rsidRDefault="004A00CF" w:rsidP="004A00CF">
      <w:pPr>
        <w:autoSpaceDE w:val="0"/>
        <w:autoSpaceDN w:val="0"/>
        <w:spacing w:beforeLines="50" w:before="180" w:line="360" w:lineRule="exact"/>
        <w:rPr>
          <w:rFonts w:ascii="微軟正黑體" w:eastAsia="微軟正黑體" w:hAnsi="微軟正黑體" w:cs="DFYuanStd-W3"/>
          <w:kern w:val="0"/>
          <w:szCs w:val="24"/>
        </w:rPr>
      </w:pPr>
      <w:proofErr w:type="gramStart"/>
      <w:r w:rsidRPr="00E57EEF">
        <w:rPr>
          <w:rFonts w:ascii="微軟正黑體" w:eastAsia="微軟正黑體" w:hAnsi="微軟正黑體" w:cs="DFYuanStd-W3" w:hint="eastAsia"/>
          <w:kern w:val="0"/>
          <w:szCs w:val="24"/>
        </w:rPr>
        <w:t>情資申報</w:t>
      </w:r>
      <w:proofErr w:type="gramEnd"/>
      <w:r w:rsidRPr="00E57EEF">
        <w:rPr>
          <w:rFonts w:ascii="微軟正黑體" w:eastAsia="微軟正黑體" w:hAnsi="微軟正黑體" w:cs="DFYuanStd-W3" w:hint="eastAsia"/>
          <w:kern w:val="0"/>
          <w:szCs w:val="24"/>
        </w:rPr>
        <w:t>是雙向循環，洗錢</w:t>
      </w:r>
      <w:proofErr w:type="gramStart"/>
      <w:r w:rsidRPr="00E57EEF">
        <w:rPr>
          <w:rFonts w:ascii="微軟正黑體" w:eastAsia="微軟正黑體" w:hAnsi="微軟正黑體" w:cs="DFYuanStd-W3" w:hint="eastAsia"/>
          <w:kern w:val="0"/>
          <w:szCs w:val="24"/>
        </w:rPr>
        <w:t>防制處設有</w:t>
      </w:r>
      <w:proofErr w:type="gramEnd"/>
      <w:r w:rsidRPr="00E57EEF">
        <w:rPr>
          <w:rFonts w:ascii="微軟正黑體" w:eastAsia="微軟正黑體" w:hAnsi="微軟正黑體" w:cs="DFYuanStd-W3" w:hint="eastAsia"/>
          <w:kern w:val="0"/>
          <w:szCs w:val="24"/>
        </w:rPr>
        <w:t>溝通回饋機制，每季</w:t>
      </w:r>
      <w:proofErr w:type="gramStart"/>
      <w:r w:rsidRPr="00E57EEF">
        <w:rPr>
          <w:rFonts w:ascii="微軟正黑體" w:eastAsia="微軟正黑體" w:hAnsi="微軟正黑體" w:cs="DFYuanStd-W3" w:hint="eastAsia"/>
          <w:kern w:val="0"/>
          <w:szCs w:val="24"/>
        </w:rPr>
        <w:t>將情資分送</w:t>
      </w:r>
      <w:proofErr w:type="gramEnd"/>
      <w:r w:rsidRPr="00E57EEF">
        <w:rPr>
          <w:rFonts w:ascii="微軟正黑體" w:eastAsia="微軟正黑體" w:hAnsi="微軟正黑體" w:cs="DFYuanStd-W3" w:hint="eastAsia"/>
          <w:kern w:val="0"/>
          <w:szCs w:val="24"/>
        </w:rPr>
        <w:t>運用情形回饋給金融機構，期貨商申請安裝可疑交易報告媒體申報軟體者，可線上查詢所申報之STR案件之分送運用情形。期貨商申報STR</w:t>
      </w:r>
      <w:proofErr w:type="gramStart"/>
      <w:r w:rsidRPr="00E57EEF">
        <w:rPr>
          <w:rFonts w:ascii="微軟正黑體" w:eastAsia="微軟正黑體" w:hAnsi="微軟正黑體" w:cs="DFYuanStd-W3" w:hint="eastAsia"/>
          <w:kern w:val="0"/>
          <w:szCs w:val="24"/>
        </w:rPr>
        <w:t>情資時</w:t>
      </w:r>
      <w:proofErr w:type="gramEnd"/>
      <w:r w:rsidRPr="00E57EEF">
        <w:rPr>
          <w:rFonts w:ascii="微軟正黑體" w:eastAsia="微軟正黑體" w:hAnsi="微軟正黑體" w:cs="DFYuanStd-W3" w:hint="eastAsia"/>
          <w:kern w:val="0"/>
          <w:szCs w:val="24"/>
        </w:rPr>
        <w:t>要注意保密、時效及留存相關紀錄（依據金融機構防制洗錢辦法辦理），</w:t>
      </w:r>
      <w:proofErr w:type="gramStart"/>
      <w:r w:rsidRPr="00E57EEF">
        <w:rPr>
          <w:rFonts w:ascii="微軟正黑體" w:eastAsia="微軟正黑體" w:hAnsi="微軟正黑體" w:cs="DFYuanStd-W3" w:hint="eastAsia"/>
          <w:kern w:val="0"/>
          <w:szCs w:val="24"/>
        </w:rPr>
        <w:t>情資內容</w:t>
      </w:r>
      <w:proofErr w:type="gramEnd"/>
      <w:r w:rsidRPr="00E57EEF">
        <w:rPr>
          <w:rFonts w:ascii="微軟正黑體" w:eastAsia="微軟正黑體" w:hAnsi="微軟正黑體" w:cs="DFYuanStd-W3" w:hint="eastAsia"/>
          <w:kern w:val="0"/>
          <w:szCs w:val="24"/>
        </w:rPr>
        <w:t>需有完整說明，包括人、事、時、地、物、如何、為何。可疑交易報告只能</w:t>
      </w:r>
      <w:proofErr w:type="gramStart"/>
      <w:r w:rsidRPr="00E57EEF">
        <w:rPr>
          <w:rFonts w:ascii="微軟正黑體" w:eastAsia="微軟正黑體" w:hAnsi="微軟正黑體" w:cs="DFYuanStd-W3" w:hint="eastAsia"/>
          <w:kern w:val="0"/>
          <w:szCs w:val="24"/>
        </w:rPr>
        <w:t>作為情資</w:t>
      </w:r>
      <w:proofErr w:type="gramEnd"/>
      <w:r w:rsidRPr="00E57EEF">
        <w:rPr>
          <w:rFonts w:ascii="微軟正黑體" w:eastAsia="微軟正黑體" w:hAnsi="微軟正黑體" w:cs="DFYuanStd-W3" w:hint="eastAsia"/>
          <w:kern w:val="0"/>
          <w:szCs w:val="24"/>
        </w:rPr>
        <w:t>，不能作為證據使用，執法單位或稅捐機關需要證據時，須向金融機構調閱相關資料。透過各單位申報</w:t>
      </w:r>
      <w:proofErr w:type="gramStart"/>
      <w:r w:rsidRPr="00E57EEF">
        <w:rPr>
          <w:rFonts w:ascii="微軟正黑體" w:eastAsia="微軟正黑體" w:hAnsi="微軟正黑體" w:cs="DFYuanStd-W3" w:hint="eastAsia"/>
          <w:kern w:val="0"/>
          <w:szCs w:val="24"/>
        </w:rPr>
        <w:t>之情資</w:t>
      </w:r>
      <w:proofErr w:type="gramEnd"/>
      <w:r w:rsidRPr="00E57EEF">
        <w:rPr>
          <w:rFonts w:ascii="微軟正黑體" w:eastAsia="微軟正黑體" w:hAnsi="微軟正黑體" w:cs="DFYuanStd-W3" w:hint="eastAsia"/>
          <w:kern w:val="0"/>
          <w:szCs w:val="24"/>
        </w:rPr>
        <w:t>，包括銀行申報金流及期貨商申報之可疑交易，對於構成犯罪案件之原貌非常有幫助。</w:t>
      </w:r>
    </w:p>
    <w:p w:rsidR="00685CB6" w:rsidRDefault="00685CB6">
      <w:pPr>
        <w:widowControl/>
        <w:rPr>
          <w:rFonts w:ascii="微軟正黑體" w:eastAsia="微軟正黑體" w:hAnsi="微軟正黑體" w:cs="DFYuanStd-W3"/>
          <w:kern w:val="0"/>
          <w:szCs w:val="24"/>
        </w:rPr>
      </w:pPr>
      <w:r>
        <w:rPr>
          <w:rFonts w:ascii="微軟正黑體" w:eastAsia="微軟正黑體" w:hAnsi="微軟正黑體" w:cs="DFYuanStd-W3"/>
          <w:kern w:val="0"/>
          <w:szCs w:val="24"/>
        </w:rPr>
        <w:br w:type="page"/>
      </w:r>
    </w:p>
    <w:p w:rsidR="004A00CF" w:rsidRPr="00A213A2" w:rsidRDefault="004A00CF" w:rsidP="004A00CF">
      <w:pPr>
        <w:jc w:val="center"/>
        <w:rPr>
          <w:rFonts w:asciiTheme="minorEastAsia" w:hAnsiTheme="minorEastAsia"/>
          <w:szCs w:val="24"/>
        </w:rPr>
      </w:pPr>
      <w:r w:rsidRPr="008624DB">
        <w:rPr>
          <w:rFonts w:ascii="微軟正黑體" w:eastAsia="微軟正黑體" w:hAnsi="微軟正黑體" w:cs="DFYuanStd-W5" w:hint="eastAsia"/>
          <w:b/>
          <w:color w:val="FFFFFF" w:themeColor="background1"/>
          <w:kern w:val="0"/>
          <w:sz w:val="27"/>
          <w:szCs w:val="27"/>
          <w:highlight w:val="blue"/>
        </w:rPr>
        <w:lastRenderedPageBreak/>
        <w:t>「</w:t>
      </w:r>
      <w:proofErr w:type="gramStart"/>
      <w:r w:rsidRPr="008624DB">
        <w:rPr>
          <w:rFonts w:ascii="微軟正黑體" w:eastAsia="微軟正黑體" w:hAnsi="微軟正黑體" w:cs="DFYuanStd-W5" w:hint="eastAsia"/>
          <w:b/>
          <w:color w:val="FFFFFF" w:themeColor="background1"/>
          <w:kern w:val="0"/>
          <w:sz w:val="27"/>
          <w:szCs w:val="27"/>
          <w:highlight w:val="blue"/>
        </w:rPr>
        <w:t>期貨業防制</w:t>
      </w:r>
      <w:proofErr w:type="gramEnd"/>
      <w:r w:rsidRPr="008624DB">
        <w:rPr>
          <w:rFonts w:ascii="微軟正黑體" w:eastAsia="微軟正黑體" w:hAnsi="微軟正黑體" w:cs="DFYuanStd-W5" w:hint="eastAsia"/>
          <w:b/>
          <w:color w:val="FFFFFF" w:themeColor="background1"/>
          <w:kern w:val="0"/>
          <w:sz w:val="27"/>
          <w:szCs w:val="27"/>
          <w:highlight w:val="blue"/>
        </w:rPr>
        <w:t>洗錢及</w:t>
      </w:r>
      <w:proofErr w:type="gramStart"/>
      <w:r w:rsidRPr="008624DB">
        <w:rPr>
          <w:rFonts w:ascii="微軟正黑體" w:eastAsia="微軟正黑體" w:hAnsi="微軟正黑體" w:cs="DFYuanStd-W5" w:hint="eastAsia"/>
          <w:b/>
          <w:color w:val="FFFFFF" w:themeColor="background1"/>
          <w:kern w:val="0"/>
          <w:sz w:val="27"/>
          <w:szCs w:val="27"/>
          <w:highlight w:val="blue"/>
        </w:rPr>
        <w:t>打擊資恐相關</w:t>
      </w:r>
      <w:proofErr w:type="gramEnd"/>
      <w:r w:rsidRPr="008624DB">
        <w:rPr>
          <w:rFonts w:ascii="微軟正黑體" w:eastAsia="微軟正黑體" w:hAnsi="微軟正黑體" w:cs="DFYuanStd-W5" w:hint="eastAsia"/>
          <w:b/>
          <w:color w:val="FFFFFF" w:themeColor="background1"/>
          <w:kern w:val="0"/>
          <w:sz w:val="27"/>
          <w:szCs w:val="27"/>
          <w:highlight w:val="blue"/>
        </w:rPr>
        <w:t>規定問答集」修正報導</w:t>
      </w:r>
    </w:p>
    <w:p w:rsidR="004A00CF" w:rsidRPr="002C5EE9" w:rsidRDefault="004A00CF" w:rsidP="00685CB6">
      <w:pPr>
        <w:jc w:val="right"/>
        <w:rPr>
          <w:rFonts w:asciiTheme="minorEastAsia" w:hAnsiTheme="minorEastAsia"/>
          <w:szCs w:val="24"/>
        </w:rPr>
      </w:pPr>
      <w:r>
        <w:rPr>
          <w:rFonts w:asciiTheme="minorEastAsia" w:hAnsiTheme="minorEastAsia" w:hint="eastAsia"/>
          <w:szCs w:val="24"/>
        </w:rPr>
        <w:t>108</w:t>
      </w:r>
      <w:r w:rsidRPr="00A213A2">
        <w:rPr>
          <w:rFonts w:asciiTheme="minorEastAsia" w:hAnsiTheme="minorEastAsia" w:hint="eastAsia"/>
          <w:szCs w:val="24"/>
        </w:rPr>
        <w:t>年</w:t>
      </w:r>
      <w:r>
        <w:rPr>
          <w:rFonts w:asciiTheme="minorEastAsia" w:hAnsiTheme="minorEastAsia" w:hint="eastAsia"/>
          <w:szCs w:val="24"/>
        </w:rPr>
        <w:t>2</w:t>
      </w:r>
      <w:r w:rsidRPr="00A213A2">
        <w:rPr>
          <w:rFonts w:asciiTheme="minorEastAsia" w:hAnsiTheme="minorEastAsia" w:hint="eastAsia"/>
          <w:szCs w:val="24"/>
        </w:rPr>
        <w:t>月刊會訊報導</w:t>
      </w:r>
    </w:p>
    <w:p w:rsidR="004A00CF" w:rsidRPr="008624DB" w:rsidRDefault="004A00CF" w:rsidP="004A00CF">
      <w:pPr>
        <w:autoSpaceDE w:val="0"/>
        <w:autoSpaceDN w:val="0"/>
        <w:spacing w:beforeLines="50" w:before="180" w:line="360" w:lineRule="exact"/>
        <w:rPr>
          <w:rFonts w:ascii="微軟正黑體" w:eastAsia="微軟正黑體" w:hAnsi="微軟正黑體" w:cs="DFYuanStd-W3"/>
          <w:kern w:val="0"/>
          <w:szCs w:val="24"/>
        </w:rPr>
      </w:pPr>
      <w:r w:rsidRPr="008624DB">
        <w:rPr>
          <w:rFonts w:ascii="微軟正黑體" w:eastAsia="微軟正黑體" w:hAnsi="微軟正黑體" w:cs="DFYuanStd-W3" w:hint="eastAsia"/>
          <w:kern w:val="0"/>
          <w:szCs w:val="24"/>
        </w:rPr>
        <w:t>本公會於</w:t>
      </w:r>
      <w:r w:rsidRPr="008624DB">
        <w:rPr>
          <w:rFonts w:ascii="微軟正黑體" w:eastAsia="微軟正黑體" w:hAnsi="微軟正黑體" w:cs="DFYuanStd-W3"/>
          <w:kern w:val="0"/>
          <w:szCs w:val="24"/>
        </w:rPr>
        <w:t>108</w:t>
      </w:r>
      <w:r w:rsidRPr="008624DB">
        <w:rPr>
          <w:rFonts w:ascii="微軟正黑體" w:eastAsia="微軟正黑體" w:hAnsi="微軟正黑體" w:cs="DFYuanStd-W3" w:hint="eastAsia"/>
          <w:kern w:val="0"/>
          <w:szCs w:val="24"/>
        </w:rPr>
        <w:t>年</w:t>
      </w:r>
      <w:r w:rsidRPr="008624DB">
        <w:rPr>
          <w:rFonts w:ascii="微軟正黑體" w:eastAsia="微軟正黑體" w:hAnsi="微軟正黑體" w:cs="DFYuanStd-W3"/>
          <w:kern w:val="0"/>
          <w:szCs w:val="24"/>
        </w:rPr>
        <w:t>1</w:t>
      </w:r>
      <w:r w:rsidRPr="008624DB">
        <w:rPr>
          <w:rFonts w:ascii="微軟正黑體" w:eastAsia="微軟正黑體" w:hAnsi="微軟正黑體" w:cs="DFYuanStd-W3" w:hint="eastAsia"/>
          <w:kern w:val="0"/>
          <w:szCs w:val="24"/>
        </w:rPr>
        <w:t>月</w:t>
      </w:r>
      <w:r w:rsidRPr="008624DB">
        <w:rPr>
          <w:rFonts w:ascii="微軟正黑體" w:eastAsia="微軟正黑體" w:hAnsi="微軟正黑體" w:cs="DFYuanStd-W3"/>
          <w:kern w:val="0"/>
          <w:szCs w:val="24"/>
        </w:rPr>
        <w:t>22</w:t>
      </w:r>
      <w:r w:rsidRPr="008624DB">
        <w:rPr>
          <w:rFonts w:ascii="微軟正黑體" w:eastAsia="微軟正黑體" w:hAnsi="微軟正黑體" w:cs="DFYuanStd-W3" w:hint="eastAsia"/>
          <w:kern w:val="0"/>
          <w:szCs w:val="24"/>
        </w:rPr>
        <w:t>日將修正後「</w:t>
      </w:r>
      <w:proofErr w:type="gramStart"/>
      <w:r w:rsidRPr="008624DB">
        <w:rPr>
          <w:rFonts w:ascii="微軟正黑體" w:eastAsia="微軟正黑體" w:hAnsi="微軟正黑體" w:cs="DFYuanStd-W3" w:hint="eastAsia"/>
          <w:kern w:val="0"/>
          <w:szCs w:val="24"/>
        </w:rPr>
        <w:t>期貨業防制</w:t>
      </w:r>
      <w:proofErr w:type="gramEnd"/>
      <w:r w:rsidRPr="008624DB">
        <w:rPr>
          <w:rFonts w:ascii="微軟正黑體" w:eastAsia="微軟正黑體" w:hAnsi="微軟正黑體" w:cs="DFYuanStd-W3" w:hint="eastAsia"/>
          <w:kern w:val="0"/>
          <w:szCs w:val="24"/>
        </w:rPr>
        <w:t>洗錢及</w:t>
      </w:r>
      <w:proofErr w:type="gramStart"/>
      <w:r w:rsidRPr="008624DB">
        <w:rPr>
          <w:rFonts w:ascii="微軟正黑體" w:eastAsia="微軟正黑體" w:hAnsi="微軟正黑體" w:cs="DFYuanStd-W3" w:hint="eastAsia"/>
          <w:kern w:val="0"/>
          <w:szCs w:val="24"/>
        </w:rPr>
        <w:t>打擊資恐相關</w:t>
      </w:r>
      <w:proofErr w:type="gramEnd"/>
      <w:r w:rsidRPr="008624DB">
        <w:rPr>
          <w:rFonts w:ascii="微軟正黑體" w:eastAsia="微軟正黑體" w:hAnsi="微軟正黑體" w:cs="DFYuanStd-W3" w:hint="eastAsia"/>
          <w:kern w:val="0"/>
          <w:szCs w:val="24"/>
        </w:rPr>
        <w:t>規定問答集」函送全體會員公司（中期商字第</w:t>
      </w:r>
      <w:r w:rsidRPr="008624DB">
        <w:rPr>
          <w:rFonts w:ascii="微軟正黑體" w:eastAsia="微軟正黑體" w:hAnsi="微軟正黑體" w:cs="DFYuanStd-W3"/>
          <w:kern w:val="0"/>
          <w:szCs w:val="24"/>
        </w:rPr>
        <w:t>1080000304</w:t>
      </w:r>
      <w:r w:rsidRPr="008624DB">
        <w:rPr>
          <w:rFonts w:ascii="微軟正黑體" w:eastAsia="微軟正黑體" w:hAnsi="微軟正黑體" w:cs="DFYuanStd-W3" w:hint="eastAsia"/>
          <w:kern w:val="0"/>
          <w:szCs w:val="24"/>
        </w:rPr>
        <w:t>號函）並公告</w:t>
      </w:r>
      <w:proofErr w:type="gramStart"/>
      <w:r w:rsidRPr="008624DB">
        <w:rPr>
          <w:rFonts w:ascii="微軟正黑體" w:eastAsia="微軟正黑體" w:hAnsi="微軟正黑體" w:cs="DFYuanStd-W3" w:hint="eastAsia"/>
          <w:kern w:val="0"/>
          <w:szCs w:val="24"/>
        </w:rPr>
        <w:t>於官網</w:t>
      </w:r>
      <w:proofErr w:type="gramEnd"/>
      <w:r w:rsidRPr="008624DB">
        <w:rPr>
          <w:rFonts w:ascii="微軟正黑體" w:eastAsia="微軟正黑體" w:hAnsi="微軟正黑體" w:cs="DFYuanStd-W3" w:hint="eastAsia"/>
          <w:kern w:val="0"/>
          <w:szCs w:val="24"/>
        </w:rPr>
        <w:t>。本次增修訂內容摘要說明如下：</w:t>
      </w:r>
    </w:p>
    <w:p w:rsidR="004A00CF" w:rsidRPr="008624DB" w:rsidRDefault="004A00CF" w:rsidP="004A00CF">
      <w:pPr>
        <w:autoSpaceDE w:val="0"/>
        <w:autoSpaceDN w:val="0"/>
        <w:spacing w:beforeLines="50" w:before="180" w:line="360" w:lineRule="exact"/>
        <w:ind w:left="425" w:hangingChars="177" w:hanging="425"/>
        <w:rPr>
          <w:rFonts w:ascii="微軟正黑體" w:eastAsia="微軟正黑體" w:hAnsi="微軟正黑體" w:cs="DFYuanStd-W3"/>
          <w:kern w:val="0"/>
          <w:szCs w:val="24"/>
        </w:rPr>
      </w:pPr>
      <w:r w:rsidRPr="008624DB">
        <w:rPr>
          <w:rFonts w:ascii="微軟正黑體" w:eastAsia="微軟正黑體" w:hAnsi="微軟正黑體" w:cs="DFYuanStd-W3" w:hint="eastAsia"/>
          <w:kern w:val="0"/>
          <w:szCs w:val="24"/>
        </w:rPr>
        <w:t>一、修正金融機構防制洗錢辦法有關確認客戶身分之對象、方式及程序之問答（四）：舉例說明有關期貨業辦理對法人客戶之有權交易人員進行辨識及驗證之方式。</w:t>
      </w:r>
    </w:p>
    <w:p w:rsidR="004A00CF" w:rsidRPr="008624DB" w:rsidRDefault="004A00CF" w:rsidP="004A00CF">
      <w:pPr>
        <w:autoSpaceDE w:val="0"/>
        <w:autoSpaceDN w:val="0"/>
        <w:spacing w:beforeLines="50" w:before="180" w:line="360" w:lineRule="exact"/>
        <w:ind w:left="425" w:hangingChars="177" w:hanging="425"/>
        <w:rPr>
          <w:rFonts w:ascii="微軟正黑體" w:eastAsia="微軟正黑體" w:hAnsi="微軟正黑體" w:cs="DFYuanStd-W3"/>
          <w:kern w:val="0"/>
          <w:szCs w:val="24"/>
        </w:rPr>
      </w:pPr>
      <w:r w:rsidRPr="008624DB">
        <w:rPr>
          <w:rFonts w:ascii="微軟正黑體" w:eastAsia="微軟正黑體" w:hAnsi="微軟正黑體" w:cs="DFYuanStd-W3" w:hint="eastAsia"/>
          <w:kern w:val="0"/>
          <w:szCs w:val="24"/>
        </w:rPr>
        <w:t>二、增訂金融機構防制洗錢辦法有關確認客戶身分之對象、方式及程序之問答（六）至（十）：有關辨識實質受益人，客戶持股是否逾</w:t>
      </w:r>
      <w:r w:rsidRPr="008624DB">
        <w:rPr>
          <w:rFonts w:ascii="微軟正黑體" w:eastAsia="微軟正黑體" w:hAnsi="微軟正黑體" w:cs="DFYuanStd-W3"/>
          <w:kern w:val="0"/>
          <w:szCs w:val="24"/>
        </w:rPr>
        <w:t>25%</w:t>
      </w:r>
      <w:r w:rsidRPr="008624DB">
        <w:rPr>
          <w:rFonts w:ascii="微軟正黑體" w:eastAsia="微軟正黑體" w:hAnsi="微軟正黑體" w:cs="DFYuanStd-W3" w:hint="eastAsia"/>
          <w:kern w:val="0"/>
          <w:szCs w:val="24"/>
        </w:rPr>
        <w:t>之計算方式；應向法人客戶取得何種資料，以辨識有無對客戶持股逾</w:t>
      </w:r>
      <w:r w:rsidRPr="008624DB">
        <w:rPr>
          <w:rFonts w:ascii="微軟正黑體" w:eastAsia="微軟正黑體" w:hAnsi="微軟正黑體" w:cs="DFYuanStd-W3"/>
          <w:kern w:val="0"/>
          <w:szCs w:val="24"/>
        </w:rPr>
        <w:t>25%</w:t>
      </w:r>
      <w:r w:rsidRPr="008624DB">
        <w:rPr>
          <w:rFonts w:ascii="微軟正黑體" w:eastAsia="微軟正黑體" w:hAnsi="微軟正黑體" w:cs="DFYuanStd-W3" w:hint="eastAsia"/>
          <w:kern w:val="0"/>
          <w:szCs w:val="24"/>
        </w:rPr>
        <w:t>之自然人；如未發現持股逾</w:t>
      </w:r>
      <w:r w:rsidRPr="008624DB">
        <w:rPr>
          <w:rFonts w:ascii="微軟正黑體" w:eastAsia="微軟正黑體" w:hAnsi="微軟正黑體" w:cs="DFYuanStd-W3"/>
          <w:kern w:val="0"/>
          <w:szCs w:val="24"/>
        </w:rPr>
        <w:t>25%</w:t>
      </w:r>
      <w:r w:rsidRPr="008624DB">
        <w:rPr>
          <w:rFonts w:ascii="微軟正黑體" w:eastAsia="微軟正黑體" w:hAnsi="微軟正黑體" w:cs="DFYuanStd-W3" w:hint="eastAsia"/>
          <w:kern w:val="0"/>
          <w:szCs w:val="24"/>
        </w:rPr>
        <w:t>實質受益人時，應如何處理；已知實質受益人為何人時，應向法人客戶取得實質受益人之那些個人資料；客戶若無法提供實質受益人資料，應如何處理。</w:t>
      </w:r>
    </w:p>
    <w:p w:rsidR="004A00CF" w:rsidRDefault="004A00CF" w:rsidP="004A00CF">
      <w:pPr>
        <w:autoSpaceDE w:val="0"/>
        <w:autoSpaceDN w:val="0"/>
        <w:spacing w:beforeLines="50" w:before="180" w:line="360" w:lineRule="exact"/>
        <w:ind w:left="425" w:hangingChars="177" w:hanging="425"/>
        <w:rPr>
          <w:rFonts w:ascii="微軟正黑體" w:eastAsia="微軟正黑體" w:hAnsi="微軟正黑體" w:cs="DFYuanStd-W3" w:hint="eastAsia"/>
          <w:kern w:val="0"/>
          <w:szCs w:val="24"/>
        </w:rPr>
      </w:pPr>
      <w:r w:rsidRPr="008624DB">
        <w:rPr>
          <w:rFonts w:ascii="微軟正黑體" w:eastAsia="微軟正黑體" w:hAnsi="微軟正黑體" w:cs="DFYuanStd-W3" w:hint="eastAsia"/>
          <w:kern w:val="0"/>
          <w:szCs w:val="24"/>
        </w:rPr>
        <w:t>三、增訂金融機構防制洗錢辦法有關持續審查客戶身分之問答（三）：有關華僑及外國人之基金戶所委託基金管理人（公司）新增或變更時，期貨業如何對該基金管理人（公司）辦理相關身分審查程序。</w:t>
      </w:r>
    </w:p>
    <w:p w:rsidR="00685CB6" w:rsidRDefault="004A00CF" w:rsidP="00685CB6">
      <w:pPr>
        <w:autoSpaceDE w:val="0"/>
        <w:autoSpaceDN w:val="0"/>
        <w:spacing w:beforeLines="50" w:before="180" w:line="360" w:lineRule="exact"/>
        <w:rPr>
          <w:rFonts w:ascii="微軟正黑體" w:eastAsia="微軟正黑體" w:hAnsi="微軟正黑體" w:cs="DFYuanStd-W3"/>
          <w:kern w:val="0"/>
          <w:szCs w:val="24"/>
        </w:rPr>
      </w:pPr>
      <w:r w:rsidRPr="008624DB">
        <w:rPr>
          <w:rFonts w:ascii="微軟正黑體" w:eastAsia="微軟正黑體" w:hAnsi="微軟正黑體" w:cs="DFYuanStd-W3" w:hint="eastAsia"/>
          <w:kern w:val="0"/>
          <w:szCs w:val="24"/>
        </w:rPr>
        <w:t>「</w:t>
      </w:r>
      <w:proofErr w:type="gramStart"/>
      <w:r w:rsidRPr="008624DB">
        <w:rPr>
          <w:rFonts w:ascii="微軟正黑體" w:eastAsia="微軟正黑體" w:hAnsi="微軟正黑體" w:cs="DFYuanStd-W3" w:hint="eastAsia"/>
          <w:kern w:val="0"/>
          <w:szCs w:val="24"/>
        </w:rPr>
        <w:t>期貨業防制</w:t>
      </w:r>
      <w:proofErr w:type="gramEnd"/>
      <w:r w:rsidRPr="008624DB">
        <w:rPr>
          <w:rFonts w:ascii="微軟正黑體" w:eastAsia="微軟正黑體" w:hAnsi="微軟正黑體" w:cs="DFYuanStd-W3" w:hint="eastAsia"/>
          <w:kern w:val="0"/>
          <w:szCs w:val="24"/>
        </w:rPr>
        <w:t>洗錢及</w:t>
      </w:r>
      <w:proofErr w:type="gramStart"/>
      <w:r w:rsidRPr="008624DB">
        <w:rPr>
          <w:rFonts w:ascii="微軟正黑體" w:eastAsia="微軟正黑體" w:hAnsi="微軟正黑體" w:cs="DFYuanStd-W3" w:hint="eastAsia"/>
          <w:kern w:val="0"/>
          <w:szCs w:val="24"/>
        </w:rPr>
        <w:t>打擊資恐相關</w:t>
      </w:r>
      <w:proofErr w:type="gramEnd"/>
      <w:r w:rsidRPr="008624DB">
        <w:rPr>
          <w:rFonts w:ascii="微軟正黑體" w:eastAsia="微軟正黑體" w:hAnsi="微軟正黑體" w:cs="DFYuanStd-W3" w:hint="eastAsia"/>
          <w:kern w:val="0"/>
          <w:szCs w:val="24"/>
        </w:rPr>
        <w:t>規定問答集」內容可至本公會網站防制洗錢專區</w:t>
      </w:r>
      <w:proofErr w:type="gramStart"/>
      <w:r w:rsidRPr="008624DB">
        <w:rPr>
          <w:rFonts w:ascii="微軟正黑體" w:eastAsia="微軟正黑體" w:hAnsi="微軟正黑體" w:cs="DFYuanStd-W3" w:hint="eastAsia"/>
          <w:kern w:val="0"/>
          <w:szCs w:val="24"/>
        </w:rPr>
        <w:t>（</w:t>
      </w:r>
      <w:proofErr w:type="gramEnd"/>
      <w:r w:rsidRPr="008624DB">
        <w:rPr>
          <w:rFonts w:ascii="微軟正黑體" w:eastAsia="微軟正黑體" w:hAnsi="微軟正黑體" w:cs="DFYuanStd-W3"/>
          <w:kern w:val="0"/>
          <w:szCs w:val="24"/>
        </w:rPr>
        <w:t>http://www.futures.org.tw</w:t>
      </w:r>
      <w:proofErr w:type="gramStart"/>
      <w:r w:rsidRPr="008624DB">
        <w:rPr>
          <w:rFonts w:ascii="微軟正黑體" w:eastAsia="微軟正黑體" w:hAnsi="微軟正黑體" w:cs="DFYuanStd-W3" w:hint="eastAsia"/>
          <w:kern w:val="0"/>
          <w:szCs w:val="24"/>
        </w:rPr>
        <w:t>）</w:t>
      </w:r>
      <w:proofErr w:type="gramEnd"/>
      <w:r w:rsidRPr="008624DB">
        <w:rPr>
          <w:rFonts w:ascii="微軟正黑體" w:eastAsia="微軟正黑體" w:hAnsi="微軟正黑體" w:cs="DFYuanStd-W3" w:hint="eastAsia"/>
          <w:kern w:val="0"/>
          <w:szCs w:val="24"/>
        </w:rPr>
        <w:t>查詢，或至證券</w:t>
      </w:r>
      <w:proofErr w:type="gramStart"/>
      <w:r w:rsidRPr="008624DB">
        <w:rPr>
          <w:rFonts w:ascii="微軟正黑體" w:eastAsia="微軟正黑體" w:hAnsi="微軟正黑體" w:cs="DFYuanStd-W3" w:hint="eastAsia"/>
          <w:kern w:val="0"/>
          <w:szCs w:val="24"/>
        </w:rPr>
        <w:t>期貨業防制</w:t>
      </w:r>
      <w:proofErr w:type="gramEnd"/>
      <w:r w:rsidRPr="008624DB">
        <w:rPr>
          <w:rFonts w:ascii="微軟正黑體" w:eastAsia="微軟正黑體" w:hAnsi="微軟正黑體" w:cs="DFYuanStd-W3" w:hint="eastAsia"/>
          <w:kern w:val="0"/>
          <w:szCs w:val="24"/>
        </w:rPr>
        <w:t>洗錢及打擊資助恐怖主義專區網站</w:t>
      </w:r>
      <w:proofErr w:type="gramStart"/>
      <w:r w:rsidRPr="008624DB">
        <w:rPr>
          <w:rFonts w:ascii="微軟正黑體" w:eastAsia="微軟正黑體" w:hAnsi="微軟正黑體" w:cs="DFYuanStd-W3" w:hint="eastAsia"/>
          <w:kern w:val="0"/>
          <w:szCs w:val="24"/>
        </w:rPr>
        <w:t>（</w:t>
      </w:r>
      <w:proofErr w:type="gramEnd"/>
      <w:r w:rsidRPr="008624DB">
        <w:rPr>
          <w:rFonts w:ascii="微軟正黑體" w:eastAsia="微軟正黑體" w:hAnsi="微軟正黑體" w:cs="DFYuanStd-W3"/>
          <w:kern w:val="0"/>
          <w:szCs w:val="24"/>
        </w:rPr>
        <w:t>http://mlpc.twse.com.tw</w:t>
      </w:r>
      <w:proofErr w:type="gramStart"/>
      <w:r w:rsidRPr="008624DB">
        <w:rPr>
          <w:rFonts w:ascii="微軟正黑體" w:eastAsia="微軟正黑體" w:hAnsi="微軟正黑體" w:cs="DFYuanStd-W3" w:hint="eastAsia"/>
          <w:kern w:val="0"/>
          <w:szCs w:val="24"/>
        </w:rPr>
        <w:t>）</w:t>
      </w:r>
      <w:proofErr w:type="gramEnd"/>
      <w:r w:rsidRPr="008624DB">
        <w:rPr>
          <w:rFonts w:ascii="微軟正黑體" w:eastAsia="微軟正黑體" w:hAnsi="微軟正黑體" w:cs="DFYuanStd-W3" w:hint="eastAsia"/>
          <w:kern w:val="0"/>
          <w:szCs w:val="24"/>
        </w:rPr>
        <w:t>查詢。</w:t>
      </w:r>
    </w:p>
    <w:p w:rsidR="00685CB6" w:rsidRDefault="00685CB6">
      <w:pPr>
        <w:widowControl/>
        <w:rPr>
          <w:rFonts w:ascii="微軟正黑體" w:eastAsia="微軟正黑體" w:hAnsi="微軟正黑體" w:cs="DFYuanStd-W3"/>
          <w:kern w:val="0"/>
          <w:szCs w:val="24"/>
        </w:rPr>
      </w:pPr>
      <w:r>
        <w:rPr>
          <w:rFonts w:ascii="微軟正黑體" w:eastAsia="微軟正黑體" w:hAnsi="微軟正黑體" w:cs="DFYuanStd-W3"/>
          <w:kern w:val="0"/>
          <w:szCs w:val="24"/>
        </w:rPr>
        <w:br w:type="page"/>
      </w:r>
    </w:p>
    <w:p w:rsidR="00A213A2" w:rsidRPr="00A213A2" w:rsidRDefault="00466F90" w:rsidP="00DA3DD5">
      <w:pPr>
        <w:jc w:val="center"/>
        <w:rPr>
          <w:rFonts w:asciiTheme="minorEastAsia" w:hAnsiTheme="minorEastAsia"/>
          <w:szCs w:val="24"/>
        </w:rPr>
      </w:pPr>
      <w:r w:rsidRPr="00466F90">
        <w:rPr>
          <w:rFonts w:ascii="微軟正黑體" w:eastAsia="微軟正黑體" w:hAnsi="微軟正黑體" w:cs="DFYuanStd-W5" w:hint="eastAsia"/>
          <w:b/>
          <w:color w:val="FFFFFF" w:themeColor="background1"/>
          <w:kern w:val="0"/>
          <w:sz w:val="27"/>
          <w:szCs w:val="27"/>
          <w:highlight w:val="blue"/>
        </w:rPr>
        <w:lastRenderedPageBreak/>
        <w:t>洗錢防制評鑑報導</w:t>
      </w:r>
    </w:p>
    <w:p w:rsidR="002C5EE9" w:rsidRPr="00466F90" w:rsidRDefault="005A48CC" w:rsidP="00685CB6">
      <w:pPr>
        <w:jc w:val="right"/>
        <w:rPr>
          <w:rFonts w:ascii="微軟正黑體" w:eastAsia="微軟正黑體" w:hAnsi="微軟正黑體"/>
          <w:szCs w:val="24"/>
        </w:rPr>
      </w:pPr>
      <w:r>
        <w:rPr>
          <w:rFonts w:asciiTheme="minorEastAsia" w:hAnsiTheme="minorEastAsia" w:hint="eastAsia"/>
          <w:szCs w:val="24"/>
        </w:rPr>
        <w:t>10</w:t>
      </w:r>
      <w:r w:rsidR="00466F90">
        <w:rPr>
          <w:rFonts w:asciiTheme="minorEastAsia" w:hAnsiTheme="minorEastAsia" w:hint="eastAsia"/>
          <w:szCs w:val="24"/>
        </w:rPr>
        <w:t>8</w:t>
      </w:r>
      <w:r w:rsidR="00A213A2" w:rsidRPr="00A213A2">
        <w:rPr>
          <w:rFonts w:asciiTheme="minorEastAsia" w:hAnsiTheme="minorEastAsia" w:hint="eastAsia"/>
          <w:szCs w:val="24"/>
        </w:rPr>
        <w:t>年</w:t>
      </w:r>
      <w:r w:rsidR="00DA3DD5">
        <w:rPr>
          <w:rFonts w:asciiTheme="minorEastAsia" w:hAnsiTheme="minorEastAsia" w:hint="eastAsia"/>
          <w:szCs w:val="24"/>
        </w:rPr>
        <w:t>1</w:t>
      </w:r>
      <w:r w:rsidR="00A213A2" w:rsidRPr="00A213A2">
        <w:rPr>
          <w:rFonts w:asciiTheme="minorEastAsia" w:hAnsiTheme="minorEastAsia" w:hint="eastAsia"/>
          <w:szCs w:val="24"/>
        </w:rPr>
        <w:t>月刊會訊報導</w:t>
      </w:r>
    </w:p>
    <w:p w:rsidR="00466F90" w:rsidRPr="00466F90" w:rsidRDefault="00466F90" w:rsidP="00466F90">
      <w:pPr>
        <w:autoSpaceDE w:val="0"/>
        <w:autoSpaceDN w:val="0"/>
        <w:spacing w:beforeLines="50" w:before="180" w:line="360" w:lineRule="exact"/>
        <w:rPr>
          <w:rFonts w:ascii="微軟正黑體" w:eastAsia="微軟正黑體" w:hAnsi="微軟正黑體" w:cs="DFYuanStd-W3"/>
          <w:kern w:val="0"/>
          <w:szCs w:val="24"/>
        </w:rPr>
      </w:pPr>
      <w:r w:rsidRPr="00466F90">
        <w:rPr>
          <w:rFonts w:ascii="微軟正黑體" w:eastAsia="微軟正黑體" w:hAnsi="微軟正黑體" w:cs="DFYuanStd-W3" w:hint="eastAsia"/>
          <w:kern w:val="0"/>
          <w:szCs w:val="24"/>
        </w:rPr>
        <w:t>為打造安全穩健的金融環境並善盡社會責任，本公會全力宣導洗錢防制觀念，由內而外、從上到下的提昇洗錢風險意識，多次舉辦防制洗錢研討</w:t>
      </w:r>
      <w:r w:rsidRPr="00466F90">
        <w:rPr>
          <w:rFonts w:ascii="微軟正黑體" w:eastAsia="微軟正黑體" w:hAnsi="微軟正黑體" w:cs="DFYuanStd-W3"/>
          <w:kern w:val="0"/>
          <w:szCs w:val="24"/>
        </w:rPr>
        <w:t>/</w:t>
      </w:r>
      <w:r w:rsidRPr="00466F90">
        <w:rPr>
          <w:rFonts w:ascii="微軟正黑體" w:eastAsia="微軟正黑體" w:hAnsi="微軟正黑體" w:cs="DFYuanStd-W3" w:hint="eastAsia"/>
          <w:kern w:val="0"/>
          <w:szCs w:val="24"/>
        </w:rPr>
        <w:t>說明會，邀請主管機關、調查局等專業人士對會員公司董總、高階主管及從業人員解析法令及案例，並於業務員在職訓練安排相關課程，另外也密集邀請防制洗錢主管開會，</w:t>
      </w:r>
      <w:proofErr w:type="gramStart"/>
      <w:r w:rsidRPr="00466F90">
        <w:rPr>
          <w:rFonts w:ascii="微軟正黑體" w:eastAsia="微軟正黑體" w:hAnsi="微軟正黑體" w:cs="DFYuanStd-W3" w:hint="eastAsia"/>
          <w:kern w:val="0"/>
          <w:szCs w:val="24"/>
        </w:rPr>
        <w:t>研</w:t>
      </w:r>
      <w:proofErr w:type="gramEnd"/>
      <w:r w:rsidRPr="00466F90">
        <w:rPr>
          <w:rFonts w:ascii="微軟正黑體" w:eastAsia="微軟正黑體" w:hAnsi="微軟正黑體" w:cs="DFYuanStd-W3" w:hint="eastAsia"/>
          <w:kern w:val="0"/>
          <w:szCs w:val="24"/>
        </w:rPr>
        <w:t>訂作業規範，以提高業者對不法資金、異常交易的警覺性，讓防制洗錢作業落實執行，同時運用媒體、海報與刊物、紙本與電子多管道對社會大眾進行宣導，並於本公會網站開闢防制洗錢專區，整合性提供相關法令規範、文宣、報導供大眾參考，提昇民眾對洗錢的風險意識。</w:t>
      </w:r>
    </w:p>
    <w:p w:rsidR="00466F90" w:rsidRPr="00466F90" w:rsidRDefault="00466F90" w:rsidP="00466F90">
      <w:pPr>
        <w:autoSpaceDE w:val="0"/>
        <w:autoSpaceDN w:val="0"/>
        <w:spacing w:beforeLines="50" w:before="180" w:line="360" w:lineRule="exact"/>
        <w:rPr>
          <w:rFonts w:ascii="微軟正黑體" w:eastAsia="微軟正黑體" w:hAnsi="微軟正黑體" w:cs="DFYuanStd-W3"/>
          <w:kern w:val="0"/>
          <w:szCs w:val="24"/>
        </w:rPr>
      </w:pPr>
      <w:r w:rsidRPr="00466F90">
        <w:rPr>
          <w:rFonts w:ascii="微軟正黑體" w:eastAsia="微軟正黑體" w:hAnsi="微軟正黑體" w:cs="DFYuanStd-W3"/>
          <w:kern w:val="0"/>
          <w:szCs w:val="24"/>
        </w:rPr>
        <w:t>107</w:t>
      </w:r>
      <w:r w:rsidRPr="00466F90">
        <w:rPr>
          <w:rFonts w:ascii="微軟正黑體" w:eastAsia="微軟正黑體" w:hAnsi="微軟正黑體" w:cs="DFYuanStd-W3" w:hint="eastAsia"/>
          <w:kern w:val="0"/>
          <w:szCs w:val="24"/>
        </w:rPr>
        <w:t>年</w:t>
      </w:r>
      <w:r w:rsidRPr="00466F90">
        <w:rPr>
          <w:rFonts w:ascii="微軟正黑體" w:eastAsia="微軟正黑體" w:hAnsi="微軟正黑體" w:cs="DFYuanStd-W3"/>
          <w:kern w:val="0"/>
          <w:szCs w:val="24"/>
        </w:rPr>
        <w:t>11</w:t>
      </w:r>
      <w:r w:rsidRPr="00466F90">
        <w:rPr>
          <w:rFonts w:ascii="微軟正黑體" w:eastAsia="微軟正黑體" w:hAnsi="微軟正黑體" w:cs="DFYuanStd-W3" w:hint="eastAsia"/>
          <w:kern w:val="0"/>
          <w:szCs w:val="24"/>
        </w:rPr>
        <w:t>月</w:t>
      </w:r>
      <w:r w:rsidRPr="00466F90">
        <w:rPr>
          <w:rFonts w:ascii="微軟正黑體" w:eastAsia="微軟正黑體" w:hAnsi="微軟正黑體" w:cs="DFYuanStd-W3"/>
          <w:kern w:val="0"/>
          <w:szCs w:val="24"/>
        </w:rPr>
        <w:t>5</w:t>
      </w:r>
      <w:r w:rsidRPr="00466F90">
        <w:rPr>
          <w:rFonts w:ascii="微軟正黑體" w:eastAsia="微軟正黑體" w:hAnsi="微軟正黑體" w:cs="DFYuanStd-W3" w:hint="eastAsia"/>
          <w:kern w:val="0"/>
          <w:szCs w:val="24"/>
        </w:rPr>
        <w:t>日至</w:t>
      </w:r>
      <w:r w:rsidRPr="00466F90">
        <w:rPr>
          <w:rFonts w:ascii="微軟正黑體" w:eastAsia="微軟正黑體" w:hAnsi="微軟正黑體" w:cs="DFYuanStd-W3"/>
          <w:kern w:val="0"/>
          <w:szCs w:val="24"/>
        </w:rPr>
        <w:t>15</w:t>
      </w:r>
      <w:r w:rsidRPr="00466F90">
        <w:rPr>
          <w:rFonts w:ascii="微軟正黑體" w:eastAsia="微軟正黑體" w:hAnsi="微軟正黑體" w:cs="DFYuanStd-W3" w:hint="eastAsia"/>
          <w:kern w:val="0"/>
          <w:szCs w:val="24"/>
        </w:rPr>
        <w:t>日亞太防制洗錢組織（</w:t>
      </w:r>
      <w:r w:rsidRPr="00466F90">
        <w:rPr>
          <w:rFonts w:ascii="微軟正黑體" w:eastAsia="微軟正黑體" w:hAnsi="微軟正黑體" w:cs="DFYuanStd-W3"/>
          <w:kern w:val="0"/>
          <w:szCs w:val="24"/>
        </w:rPr>
        <w:t>APG</w:t>
      </w:r>
      <w:r w:rsidRPr="00466F90">
        <w:rPr>
          <w:rFonts w:ascii="微軟正黑體" w:eastAsia="微軟正黑體" w:hAnsi="微軟正黑體" w:cs="DFYuanStd-W3" w:hint="eastAsia"/>
          <w:kern w:val="0"/>
          <w:szCs w:val="24"/>
        </w:rPr>
        <w:t>）來</w:t>
      </w:r>
      <w:proofErr w:type="gramStart"/>
      <w:r w:rsidRPr="00466F90">
        <w:rPr>
          <w:rFonts w:ascii="微軟正黑體" w:eastAsia="微軟正黑體" w:hAnsi="微軟正黑體" w:cs="DFYuanStd-W3" w:hint="eastAsia"/>
          <w:kern w:val="0"/>
          <w:szCs w:val="24"/>
        </w:rPr>
        <w:t>臺</w:t>
      </w:r>
      <w:proofErr w:type="gramEnd"/>
      <w:r w:rsidRPr="00466F90">
        <w:rPr>
          <w:rFonts w:ascii="微軟正黑體" w:eastAsia="微軟正黑體" w:hAnsi="微軟正黑體" w:cs="DFYuanStd-W3" w:hint="eastAsia"/>
          <w:kern w:val="0"/>
          <w:szCs w:val="24"/>
        </w:rPr>
        <w:t>進行第三輪洗錢防制評鑑，現地評鑑報告評等預計</w:t>
      </w:r>
      <w:r w:rsidRPr="00466F90">
        <w:rPr>
          <w:rFonts w:ascii="微軟正黑體" w:eastAsia="微軟正黑體" w:hAnsi="微軟正黑體" w:cs="DFYuanStd-W3"/>
          <w:kern w:val="0"/>
          <w:szCs w:val="24"/>
        </w:rPr>
        <w:t>108</w:t>
      </w:r>
      <w:r w:rsidRPr="00466F90">
        <w:rPr>
          <w:rFonts w:ascii="微軟正黑體" w:eastAsia="微軟正黑體" w:hAnsi="微軟正黑體" w:cs="DFYuanStd-W3" w:hint="eastAsia"/>
          <w:kern w:val="0"/>
          <w:szCs w:val="24"/>
        </w:rPr>
        <w:t>年</w:t>
      </w:r>
      <w:r w:rsidRPr="00466F90">
        <w:rPr>
          <w:rFonts w:ascii="微軟正黑體" w:eastAsia="微軟正黑體" w:hAnsi="微軟正黑體" w:cs="DFYuanStd-W3"/>
          <w:kern w:val="0"/>
          <w:szCs w:val="24"/>
        </w:rPr>
        <w:t>1</w:t>
      </w:r>
      <w:r w:rsidRPr="00466F90">
        <w:rPr>
          <w:rFonts w:ascii="微軟正黑體" w:eastAsia="微軟正黑體" w:hAnsi="微軟正黑體" w:cs="DFYuanStd-W3" w:hint="eastAsia"/>
          <w:kern w:val="0"/>
          <w:szCs w:val="24"/>
        </w:rPr>
        <w:t>月初評出爐、</w:t>
      </w:r>
      <w:r w:rsidRPr="00466F90">
        <w:rPr>
          <w:rFonts w:ascii="微軟正黑體" w:eastAsia="微軟正黑體" w:hAnsi="微軟正黑體" w:cs="DFYuanStd-W3"/>
          <w:kern w:val="0"/>
          <w:szCs w:val="24"/>
        </w:rPr>
        <w:t>3</w:t>
      </w:r>
      <w:r w:rsidRPr="00466F90">
        <w:rPr>
          <w:rFonts w:ascii="微軟正黑體" w:eastAsia="微軟正黑體" w:hAnsi="微軟正黑體" w:cs="DFYuanStd-W3" w:hint="eastAsia"/>
          <w:kern w:val="0"/>
          <w:szCs w:val="24"/>
        </w:rPr>
        <w:t>月可能再度來</w:t>
      </w:r>
      <w:proofErr w:type="gramStart"/>
      <w:r w:rsidRPr="00466F90">
        <w:rPr>
          <w:rFonts w:ascii="微軟正黑體" w:eastAsia="微軟正黑體" w:hAnsi="微軟正黑體" w:cs="DFYuanStd-W3" w:hint="eastAsia"/>
          <w:kern w:val="0"/>
          <w:szCs w:val="24"/>
        </w:rPr>
        <w:t>臺</w:t>
      </w:r>
      <w:proofErr w:type="gramEnd"/>
      <w:r w:rsidRPr="00466F90">
        <w:rPr>
          <w:rFonts w:ascii="微軟正黑體" w:eastAsia="微軟正黑體" w:hAnsi="微軟正黑體" w:cs="DFYuanStd-W3" w:hint="eastAsia"/>
          <w:kern w:val="0"/>
          <w:szCs w:val="24"/>
        </w:rPr>
        <w:t>進行面對面</w:t>
      </w:r>
      <w:proofErr w:type="gramStart"/>
      <w:r w:rsidRPr="00466F90">
        <w:rPr>
          <w:rFonts w:ascii="微軟正黑體" w:eastAsia="微軟正黑體" w:hAnsi="微軟正黑體" w:cs="DFYuanStd-W3" w:hint="eastAsia"/>
          <w:kern w:val="0"/>
          <w:szCs w:val="24"/>
        </w:rPr>
        <w:t>複</w:t>
      </w:r>
      <w:proofErr w:type="gramEnd"/>
      <w:r w:rsidRPr="00466F90">
        <w:rPr>
          <w:rFonts w:ascii="微軟正黑體" w:eastAsia="微軟正黑體" w:hAnsi="微軟正黑體" w:cs="DFYuanStd-W3" w:hint="eastAsia"/>
          <w:kern w:val="0"/>
          <w:szCs w:val="24"/>
        </w:rPr>
        <w:t>審，最終報告將於</w:t>
      </w:r>
      <w:r w:rsidRPr="00466F90">
        <w:rPr>
          <w:rFonts w:ascii="微軟正黑體" w:eastAsia="微軟正黑體" w:hAnsi="微軟正黑體" w:cs="DFYuanStd-W3"/>
          <w:kern w:val="0"/>
          <w:szCs w:val="24"/>
        </w:rPr>
        <w:t>7</w:t>
      </w:r>
      <w:r w:rsidRPr="00466F90">
        <w:rPr>
          <w:rFonts w:ascii="微軟正黑體" w:eastAsia="微軟正黑體" w:hAnsi="微軟正黑體" w:cs="DFYuanStd-W3" w:hint="eastAsia"/>
          <w:kern w:val="0"/>
          <w:szCs w:val="24"/>
        </w:rPr>
        <w:t>月</w:t>
      </w:r>
      <w:r w:rsidRPr="00466F90">
        <w:rPr>
          <w:rFonts w:ascii="微軟正黑體" w:eastAsia="微軟正黑體" w:hAnsi="微軟正黑體" w:cs="DFYuanStd-W3"/>
          <w:kern w:val="0"/>
          <w:szCs w:val="24"/>
        </w:rPr>
        <w:t>APG</w:t>
      </w:r>
      <w:r w:rsidRPr="00466F90">
        <w:rPr>
          <w:rFonts w:ascii="微軟正黑體" w:eastAsia="微軟正黑體" w:hAnsi="微軟正黑體" w:cs="DFYuanStd-W3" w:hint="eastAsia"/>
          <w:kern w:val="0"/>
          <w:szCs w:val="24"/>
        </w:rPr>
        <w:t>正式大會通過定案。評鑑著重整體、跨</w:t>
      </w:r>
      <w:proofErr w:type="gramStart"/>
      <w:r w:rsidRPr="00466F90">
        <w:rPr>
          <w:rFonts w:ascii="微軟正黑體" w:eastAsia="微軟正黑體" w:hAnsi="微軟正黑體" w:cs="DFYuanStd-W3" w:hint="eastAsia"/>
          <w:kern w:val="0"/>
          <w:szCs w:val="24"/>
        </w:rPr>
        <w:t>部門間的合作</w:t>
      </w:r>
      <w:proofErr w:type="gramEnd"/>
      <w:r w:rsidRPr="00466F90">
        <w:rPr>
          <w:rFonts w:ascii="微軟正黑體" w:eastAsia="微軟正黑體" w:hAnsi="微軟正黑體" w:cs="DFYuanStd-W3" w:hint="eastAsia"/>
          <w:kern w:val="0"/>
          <w:szCs w:val="24"/>
        </w:rPr>
        <w:t>，而非單方面的洗錢防制，因此，</w:t>
      </w:r>
      <w:proofErr w:type="gramStart"/>
      <w:r w:rsidRPr="00466F90">
        <w:rPr>
          <w:rFonts w:ascii="微軟正黑體" w:eastAsia="微軟正黑體" w:hAnsi="微軟正黑體" w:cs="DFYuanStd-W3" w:hint="eastAsia"/>
          <w:kern w:val="0"/>
          <w:szCs w:val="24"/>
        </w:rPr>
        <w:t>觀照</w:t>
      </w:r>
      <w:proofErr w:type="gramEnd"/>
      <w:r w:rsidRPr="00466F90">
        <w:rPr>
          <w:rFonts w:ascii="微軟正黑體" w:eastAsia="微軟正黑體" w:hAnsi="微軟正黑體" w:cs="DFYuanStd-W3" w:hint="eastAsia"/>
          <w:kern w:val="0"/>
          <w:szCs w:val="24"/>
        </w:rPr>
        <w:t>的重點為整個商業體系，包括銀樓、地政等；且臺灣以進出口貿易為主，故特別重視境外、跨國的資金流動，及是否利用貿易行為洗錢。</w:t>
      </w:r>
    </w:p>
    <w:p w:rsidR="00466F90" w:rsidRPr="00466F90" w:rsidRDefault="00466F90" w:rsidP="00466F90">
      <w:pPr>
        <w:autoSpaceDE w:val="0"/>
        <w:autoSpaceDN w:val="0"/>
        <w:spacing w:beforeLines="50" w:before="180" w:line="360" w:lineRule="exact"/>
        <w:rPr>
          <w:rFonts w:ascii="微軟正黑體" w:eastAsia="微軟正黑體" w:hAnsi="微軟正黑體" w:cs="DFYuanStd-W3"/>
          <w:kern w:val="0"/>
          <w:szCs w:val="24"/>
        </w:rPr>
      </w:pPr>
      <w:r w:rsidRPr="00466F90">
        <w:rPr>
          <w:rFonts w:ascii="微軟正黑體" w:eastAsia="微軟正黑體" w:hAnsi="微軟正黑體" w:cs="DFYuanStd-W3" w:hint="eastAsia"/>
          <w:kern w:val="0"/>
          <w:szCs w:val="24"/>
        </w:rPr>
        <w:t>目前臺灣金融機構過於依賴機關發布的洗錢表徵，部分業者並沒有真正認知到威脅為何，因此設定的紅旗警示無法有效地反映出威脅，評鑑團建議需再強化以風險為導向（</w:t>
      </w:r>
      <w:r w:rsidRPr="00466F90">
        <w:rPr>
          <w:rFonts w:ascii="微軟正黑體" w:eastAsia="微軟正黑體" w:hAnsi="微軟正黑體" w:cs="DFYuanStd-W3"/>
          <w:kern w:val="0"/>
          <w:szCs w:val="24"/>
        </w:rPr>
        <w:t>RBA</w:t>
      </w:r>
      <w:r w:rsidRPr="00466F90">
        <w:rPr>
          <w:rFonts w:ascii="微軟正黑體" w:eastAsia="微軟正黑體" w:hAnsi="微軟正黑體" w:cs="DFYuanStd-W3" w:hint="eastAsia"/>
          <w:kern w:val="0"/>
          <w:szCs w:val="24"/>
        </w:rPr>
        <w:t>）的管理，金融監理應深化</w:t>
      </w:r>
      <w:r w:rsidRPr="00466F90">
        <w:rPr>
          <w:rFonts w:ascii="微軟正黑體" w:eastAsia="微軟正黑體" w:hAnsi="微軟正黑體" w:cs="DFYuanStd-W3"/>
          <w:kern w:val="0"/>
          <w:szCs w:val="24"/>
        </w:rPr>
        <w:t>OBU</w:t>
      </w:r>
      <w:r w:rsidRPr="00466F90">
        <w:rPr>
          <w:rFonts w:ascii="微軟正黑體" w:eastAsia="微軟正黑體" w:hAnsi="微軟正黑體" w:cs="DFYuanStd-W3" w:hint="eastAsia"/>
          <w:kern w:val="0"/>
          <w:szCs w:val="24"/>
        </w:rPr>
        <w:t>（國際金融業務分行）的查核機制，強化法人及實質受益人的透明度；評鑑團並建議</w:t>
      </w:r>
      <w:r w:rsidRPr="00466F90">
        <w:rPr>
          <w:rFonts w:ascii="微軟正黑體" w:eastAsia="微軟正黑體" w:hAnsi="微軟正黑體" w:cs="DFYuanStd-W3"/>
          <w:kern w:val="0"/>
          <w:szCs w:val="24"/>
        </w:rPr>
        <w:t>APG</w:t>
      </w:r>
      <w:r w:rsidRPr="00466F90">
        <w:rPr>
          <w:rFonts w:ascii="微軟正黑體" w:eastAsia="微軟正黑體" w:hAnsi="微軟正黑體" w:cs="DFYuanStd-W3" w:hint="eastAsia"/>
          <w:kern w:val="0"/>
          <w:szCs w:val="24"/>
        </w:rPr>
        <w:t>第三輪相互評鑑建立的協調機制應予機構化，以支持持續進行的風險抵減措施，並確保防制洗錢及</w:t>
      </w:r>
      <w:proofErr w:type="gramStart"/>
      <w:r w:rsidRPr="00466F90">
        <w:rPr>
          <w:rFonts w:ascii="微軟正黑體" w:eastAsia="微軟正黑體" w:hAnsi="微軟正黑體" w:cs="DFYuanStd-W3" w:hint="eastAsia"/>
          <w:kern w:val="0"/>
          <w:szCs w:val="24"/>
        </w:rPr>
        <w:t>打擊資恐的</w:t>
      </w:r>
      <w:proofErr w:type="gramEnd"/>
      <w:r w:rsidRPr="00466F90">
        <w:rPr>
          <w:rFonts w:ascii="微軟正黑體" w:eastAsia="微軟正黑體" w:hAnsi="微軟正黑體" w:cs="DFYuanStd-W3" w:hint="eastAsia"/>
          <w:kern w:val="0"/>
          <w:szCs w:val="24"/>
        </w:rPr>
        <w:t>政策執行，且應針對高風險威脅犯罪強化特定國際合作、</w:t>
      </w:r>
      <w:proofErr w:type="gramStart"/>
      <w:r w:rsidRPr="00466F90">
        <w:rPr>
          <w:rFonts w:ascii="微軟正黑體" w:eastAsia="微軟正黑體" w:hAnsi="微軟正黑體" w:cs="DFYuanStd-W3" w:hint="eastAsia"/>
          <w:kern w:val="0"/>
          <w:szCs w:val="24"/>
        </w:rPr>
        <w:t>反武擴法令</w:t>
      </w:r>
      <w:proofErr w:type="gramEnd"/>
      <w:r w:rsidRPr="00466F90">
        <w:rPr>
          <w:rFonts w:ascii="微軟正黑體" w:eastAsia="微軟正黑體" w:hAnsi="微軟正黑體" w:cs="DFYuanStd-W3" w:hint="eastAsia"/>
          <w:kern w:val="0"/>
          <w:szCs w:val="24"/>
        </w:rPr>
        <w:t>有缺失，應繼續完成並執行全國性防制洗錢及</w:t>
      </w:r>
      <w:proofErr w:type="gramStart"/>
      <w:r w:rsidRPr="00466F90">
        <w:rPr>
          <w:rFonts w:ascii="微軟正黑體" w:eastAsia="微軟正黑體" w:hAnsi="微軟正黑體" w:cs="DFYuanStd-W3" w:hint="eastAsia"/>
          <w:kern w:val="0"/>
          <w:szCs w:val="24"/>
        </w:rPr>
        <w:t>打擊資恐策略</w:t>
      </w:r>
      <w:proofErr w:type="gramEnd"/>
      <w:r w:rsidRPr="00466F90">
        <w:rPr>
          <w:rFonts w:ascii="微軟正黑體" w:eastAsia="微軟正黑體" w:hAnsi="微軟正黑體" w:cs="DFYuanStd-W3" w:hint="eastAsia"/>
          <w:kern w:val="0"/>
          <w:szCs w:val="24"/>
        </w:rPr>
        <w:t>。</w:t>
      </w:r>
    </w:p>
    <w:p w:rsidR="00466F90" w:rsidRPr="00466F90" w:rsidRDefault="00466F90" w:rsidP="00466F90">
      <w:pPr>
        <w:autoSpaceDE w:val="0"/>
        <w:autoSpaceDN w:val="0"/>
        <w:spacing w:beforeLines="50" w:before="180" w:line="360" w:lineRule="exact"/>
        <w:rPr>
          <w:rFonts w:ascii="微軟正黑體" w:eastAsia="微軟正黑體" w:hAnsi="微軟正黑體" w:cs="DFYuanStd-W3"/>
          <w:kern w:val="0"/>
          <w:szCs w:val="24"/>
        </w:rPr>
      </w:pPr>
      <w:r w:rsidRPr="00466F90">
        <w:rPr>
          <w:rFonts w:ascii="微軟正黑體" w:eastAsia="微軟正黑體" w:hAnsi="微軟正黑體" w:cs="DFYuanStd-W3" w:hint="eastAsia"/>
          <w:kern w:val="0"/>
          <w:szCs w:val="24"/>
        </w:rPr>
        <w:t>展望未來，期貨公會將持續辦理各項宣導、召開法</w:t>
      </w:r>
      <w:proofErr w:type="gramStart"/>
      <w:r w:rsidRPr="00466F90">
        <w:rPr>
          <w:rFonts w:ascii="微軟正黑體" w:eastAsia="微軟正黑體" w:hAnsi="微軟正黑體" w:cs="DFYuanStd-W3" w:hint="eastAsia"/>
          <w:kern w:val="0"/>
          <w:szCs w:val="24"/>
        </w:rPr>
        <w:t>遵</w:t>
      </w:r>
      <w:proofErr w:type="gramEnd"/>
      <w:r w:rsidRPr="00466F90">
        <w:rPr>
          <w:rFonts w:ascii="微軟正黑體" w:eastAsia="微軟正黑體" w:hAnsi="微軟正黑體" w:cs="DFYuanStd-W3" w:hint="eastAsia"/>
          <w:kern w:val="0"/>
          <w:szCs w:val="24"/>
        </w:rPr>
        <w:t>論壇，透過不同形式之交流，以建立從業人員反洗錢觀念並融入社會大眾生活，形成安全具有效率的交易環境。</w:t>
      </w:r>
    </w:p>
    <w:p w:rsidR="00C67D5F" w:rsidRDefault="00DA3DD5" w:rsidP="00685CB6">
      <w:pPr>
        <w:autoSpaceDE w:val="0"/>
        <w:autoSpaceDN w:val="0"/>
        <w:spacing w:beforeLines="50" w:before="180"/>
        <w:ind w:rightChars="-24" w:right="-58" w:firstLineChars="236" w:firstLine="566"/>
        <w:jc w:val="right"/>
        <w:rPr>
          <w:rFonts w:asciiTheme="minorEastAsia" w:hAnsiTheme="minorEastAsia"/>
          <w:szCs w:val="24"/>
        </w:rPr>
      </w:pPr>
      <w:r w:rsidRPr="00DA3DD5">
        <w:rPr>
          <w:rFonts w:asciiTheme="minorEastAsia" w:hAnsiTheme="minorEastAsia" w:hint="eastAsia"/>
          <w:szCs w:val="24"/>
        </w:rPr>
        <w:t xml:space="preserve"> </w:t>
      </w:r>
      <w:bookmarkStart w:id="0" w:name="_GoBack"/>
      <w:bookmarkEnd w:id="0"/>
    </w:p>
    <w:p w:rsidR="00C67D5F" w:rsidRPr="00D026B4" w:rsidRDefault="00C67D5F" w:rsidP="00C67D5F">
      <w:pPr>
        <w:autoSpaceDE w:val="0"/>
        <w:autoSpaceDN w:val="0"/>
        <w:spacing w:beforeLines="50" w:before="180"/>
        <w:ind w:rightChars="-24" w:right="-58" w:firstLineChars="236" w:firstLine="566"/>
        <w:rPr>
          <w:rFonts w:asciiTheme="minorEastAsia" w:hAnsiTheme="minorEastAsia"/>
          <w:szCs w:val="24"/>
        </w:rPr>
      </w:pPr>
    </w:p>
    <w:sectPr w:rsidR="00C67D5F" w:rsidRPr="00D026B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4A7" w:rsidRDefault="00C124A7" w:rsidP="00F0503C">
      <w:r>
        <w:separator/>
      </w:r>
    </w:p>
  </w:endnote>
  <w:endnote w:type="continuationSeparator" w:id="0">
    <w:p w:rsidR="00C124A7" w:rsidRDefault="00C124A7" w:rsidP="00F05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DFYuanStd-W5">
    <w:altName w:val="Arial Unicode MS"/>
    <w:panose1 w:val="00000000000000000000"/>
    <w:charset w:val="88"/>
    <w:family w:val="auto"/>
    <w:notTrueType/>
    <w:pitch w:val="default"/>
    <w:sig w:usb0="00000001" w:usb1="08080000" w:usb2="00000010" w:usb3="00000000" w:csb0="00100000" w:csb1="00000000"/>
  </w:font>
  <w:font w:name="DFYuanStd-W3">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4A7" w:rsidRDefault="00C124A7" w:rsidP="00F0503C">
      <w:r>
        <w:separator/>
      </w:r>
    </w:p>
  </w:footnote>
  <w:footnote w:type="continuationSeparator" w:id="0">
    <w:p w:rsidR="00C124A7" w:rsidRDefault="00C124A7" w:rsidP="00F050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3A2"/>
    <w:rsid w:val="000B1405"/>
    <w:rsid w:val="000F7997"/>
    <w:rsid w:val="00134214"/>
    <w:rsid w:val="00192103"/>
    <w:rsid w:val="001B792F"/>
    <w:rsid w:val="001E05E9"/>
    <w:rsid w:val="002076DE"/>
    <w:rsid w:val="002125AB"/>
    <w:rsid w:val="00241686"/>
    <w:rsid w:val="0026478B"/>
    <w:rsid w:val="00280F8E"/>
    <w:rsid w:val="002818A7"/>
    <w:rsid w:val="002B3DC6"/>
    <w:rsid w:val="002B3E57"/>
    <w:rsid w:val="002B5932"/>
    <w:rsid w:val="002C5EE9"/>
    <w:rsid w:val="002C7066"/>
    <w:rsid w:val="0034455C"/>
    <w:rsid w:val="003C4304"/>
    <w:rsid w:val="004216BA"/>
    <w:rsid w:val="00422BBA"/>
    <w:rsid w:val="0043461F"/>
    <w:rsid w:val="00466F90"/>
    <w:rsid w:val="004A00CF"/>
    <w:rsid w:val="004B3228"/>
    <w:rsid w:val="004D0CDF"/>
    <w:rsid w:val="004F64C5"/>
    <w:rsid w:val="005269E5"/>
    <w:rsid w:val="005840A9"/>
    <w:rsid w:val="005A48CC"/>
    <w:rsid w:val="005B7A8E"/>
    <w:rsid w:val="0060426B"/>
    <w:rsid w:val="00683025"/>
    <w:rsid w:val="00685CB6"/>
    <w:rsid w:val="006A487C"/>
    <w:rsid w:val="006E55AF"/>
    <w:rsid w:val="00712F5D"/>
    <w:rsid w:val="007876F5"/>
    <w:rsid w:val="007916BE"/>
    <w:rsid w:val="007B3903"/>
    <w:rsid w:val="007B54D9"/>
    <w:rsid w:val="007C6340"/>
    <w:rsid w:val="007F5CD9"/>
    <w:rsid w:val="00805DC0"/>
    <w:rsid w:val="00807EE7"/>
    <w:rsid w:val="00881A8F"/>
    <w:rsid w:val="009A1828"/>
    <w:rsid w:val="009B7E29"/>
    <w:rsid w:val="009D042E"/>
    <w:rsid w:val="00A213A2"/>
    <w:rsid w:val="00A27D23"/>
    <w:rsid w:val="00A6447F"/>
    <w:rsid w:val="00A830BC"/>
    <w:rsid w:val="00B332E7"/>
    <w:rsid w:val="00B84127"/>
    <w:rsid w:val="00BF5C8B"/>
    <w:rsid w:val="00C124A7"/>
    <w:rsid w:val="00C44815"/>
    <w:rsid w:val="00C67D5F"/>
    <w:rsid w:val="00CD2B09"/>
    <w:rsid w:val="00CD682B"/>
    <w:rsid w:val="00D026B4"/>
    <w:rsid w:val="00D528CE"/>
    <w:rsid w:val="00D64F46"/>
    <w:rsid w:val="00DA3DD5"/>
    <w:rsid w:val="00DC72DC"/>
    <w:rsid w:val="00E02A69"/>
    <w:rsid w:val="00E34ED9"/>
    <w:rsid w:val="00F0503C"/>
    <w:rsid w:val="00F41D26"/>
    <w:rsid w:val="00F75AD0"/>
    <w:rsid w:val="00FA1D03"/>
    <w:rsid w:val="00FD5F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92F"/>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503C"/>
    <w:pPr>
      <w:tabs>
        <w:tab w:val="center" w:pos="4153"/>
        <w:tab w:val="right" w:pos="8306"/>
      </w:tabs>
      <w:snapToGrid w:val="0"/>
    </w:pPr>
    <w:rPr>
      <w:sz w:val="20"/>
      <w:szCs w:val="20"/>
    </w:rPr>
  </w:style>
  <w:style w:type="character" w:customStyle="1" w:styleId="a4">
    <w:name w:val="頁首 字元"/>
    <w:basedOn w:val="a0"/>
    <w:link w:val="a3"/>
    <w:uiPriority w:val="99"/>
    <w:rsid w:val="00F0503C"/>
    <w:rPr>
      <w:sz w:val="20"/>
      <w:szCs w:val="20"/>
    </w:rPr>
  </w:style>
  <w:style w:type="paragraph" w:styleId="a5">
    <w:name w:val="footer"/>
    <w:basedOn w:val="a"/>
    <w:link w:val="a6"/>
    <w:uiPriority w:val="99"/>
    <w:unhideWhenUsed/>
    <w:rsid w:val="00F0503C"/>
    <w:pPr>
      <w:tabs>
        <w:tab w:val="center" w:pos="4153"/>
        <w:tab w:val="right" w:pos="8306"/>
      </w:tabs>
      <w:snapToGrid w:val="0"/>
    </w:pPr>
    <w:rPr>
      <w:sz w:val="20"/>
      <w:szCs w:val="20"/>
    </w:rPr>
  </w:style>
  <w:style w:type="character" w:customStyle="1" w:styleId="a6">
    <w:name w:val="頁尾 字元"/>
    <w:basedOn w:val="a0"/>
    <w:link w:val="a5"/>
    <w:uiPriority w:val="99"/>
    <w:rsid w:val="00F0503C"/>
    <w:rPr>
      <w:sz w:val="20"/>
      <w:szCs w:val="20"/>
    </w:rPr>
  </w:style>
  <w:style w:type="paragraph" w:styleId="a7">
    <w:name w:val="Balloon Text"/>
    <w:basedOn w:val="a"/>
    <w:link w:val="a8"/>
    <w:uiPriority w:val="99"/>
    <w:semiHidden/>
    <w:unhideWhenUsed/>
    <w:rsid w:val="00F0503C"/>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F0503C"/>
    <w:rPr>
      <w:rFonts w:asciiTheme="majorHAnsi" w:eastAsiaTheme="majorEastAsia" w:hAnsiTheme="majorHAnsi" w:cstheme="majorBidi"/>
      <w:sz w:val="18"/>
      <w:szCs w:val="18"/>
    </w:rPr>
  </w:style>
  <w:style w:type="table" w:styleId="a9">
    <w:name w:val="Table Grid"/>
    <w:basedOn w:val="a1"/>
    <w:uiPriority w:val="59"/>
    <w:rsid w:val="002647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FA1D0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92F"/>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503C"/>
    <w:pPr>
      <w:tabs>
        <w:tab w:val="center" w:pos="4153"/>
        <w:tab w:val="right" w:pos="8306"/>
      </w:tabs>
      <w:snapToGrid w:val="0"/>
    </w:pPr>
    <w:rPr>
      <w:sz w:val="20"/>
      <w:szCs w:val="20"/>
    </w:rPr>
  </w:style>
  <w:style w:type="character" w:customStyle="1" w:styleId="a4">
    <w:name w:val="頁首 字元"/>
    <w:basedOn w:val="a0"/>
    <w:link w:val="a3"/>
    <w:uiPriority w:val="99"/>
    <w:rsid w:val="00F0503C"/>
    <w:rPr>
      <w:sz w:val="20"/>
      <w:szCs w:val="20"/>
    </w:rPr>
  </w:style>
  <w:style w:type="paragraph" w:styleId="a5">
    <w:name w:val="footer"/>
    <w:basedOn w:val="a"/>
    <w:link w:val="a6"/>
    <w:uiPriority w:val="99"/>
    <w:unhideWhenUsed/>
    <w:rsid w:val="00F0503C"/>
    <w:pPr>
      <w:tabs>
        <w:tab w:val="center" w:pos="4153"/>
        <w:tab w:val="right" w:pos="8306"/>
      </w:tabs>
      <w:snapToGrid w:val="0"/>
    </w:pPr>
    <w:rPr>
      <w:sz w:val="20"/>
      <w:szCs w:val="20"/>
    </w:rPr>
  </w:style>
  <w:style w:type="character" w:customStyle="1" w:styleId="a6">
    <w:name w:val="頁尾 字元"/>
    <w:basedOn w:val="a0"/>
    <w:link w:val="a5"/>
    <w:uiPriority w:val="99"/>
    <w:rsid w:val="00F0503C"/>
    <w:rPr>
      <w:sz w:val="20"/>
      <w:szCs w:val="20"/>
    </w:rPr>
  </w:style>
  <w:style w:type="paragraph" w:styleId="a7">
    <w:name w:val="Balloon Text"/>
    <w:basedOn w:val="a"/>
    <w:link w:val="a8"/>
    <w:uiPriority w:val="99"/>
    <w:semiHidden/>
    <w:unhideWhenUsed/>
    <w:rsid w:val="00F0503C"/>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F0503C"/>
    <w:rPr>
      <w:rFonts w:asciiTheme="majorHAnsi" w:eastAsiaTheme="majorEastAsia" w:hAnsiTheme="majorHAnsi" w:cstheme="majorBidi"/>
      <w:sz w:val="18"/>
      <w:szCs w:val="18"/>
    </w:rPr>
  </w:style>
  <w:style w:type="table" w:styleId="a9">
    <w:name w:val="Table Grid"/>
    <w:basedOn w:val="a1"/>
    <w:uiPriority w:val="59"/>
    <w:rsid w:val="002647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FA1D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555</Words>
  <Characters>3170</Characters>
  <Application>Microsoft Office Word</Application>
  <DocSecurity>0</DocSecurity>
  <Lines>26</Lines>
  <Paragraphs>7</Paragraphs>
  <ScaleCrop>false</ScaleCrop>
  <Company/>
  <LinksUpToDate>false</LinksUpToDate>
  <CharactersWithSpaces>3718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莫璧君</dc:creator>
  <cp:lastModifiedBy>莫璧君</cp:lastModifiedBy>
  <cp:revision>8</cp:revision>
  <cp:lastPrinted>2019-12-17T08:21:00Z</cp:lastPrinted>
  <dcterms:created xsi:type="dcterms:W3CDTF">2019-12-17T08:17:00Z</dcterms:created>
  <dcterms:modified xsi:type="dcterms:W3CDTF">2019-12-17T08:21:00Z</dcterms:modified>
</cp:coreProperties>
</file>