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0C5" w:rsidRDefault="00BE50C5">
      <w:pPr>
        <w:spacing w:line="400" w:lineRule="exact"/>
        <w:jc w:val="center"/>
        <w:rPr>
          <w:sz w:val="28"/>
        </w:rPr>
      </w:pPr>
      <w:bookmarkStart w:id="0" w:name="_GoBack"/>
      <w:bookmarkEnd w:id="0"/>
      <w:r>
        <w:rPr>
          <w:rFonts w:ascii="標楷體" w:eastAsia="標楷體" w:hint="eastAsia"/>
          <w:sz w:val="28"/>
        </w:rPr>
        <w:t>總    則</w:t>
      </w:r>
    </w:p>
    <w:p w:rsidR="00BE50C5" w:rsidRDefault="00BE50C5">
      <w:pPr>
        <w:numPr>
          <w:ilvl w:val="12"/>
          <w:numId w:val="0"/>
        </w:numPr>
        <w:tabs>
          <w:tab w:val="left" w:pos="-2340"/>
        </w:tabs>
        <w:spacing w:line="400" w:lineRule="exact"/>
        <w:ind w:left="5580" w:hanging="5580"/>
        <w:jc w:val="center"/>
      </w:pPr>
    </w:p>
    <w:p w:rsidR="00BE50C5" w:rsidRDefault="00BE50C5">
      <w:pPr>
        <w:numPr>
          <w:ilvl w:val="0"/>
          <w:numId w:val="2"/>
        </w:numPr>
        <w:spacing w:line="400" w:lineRule="exact"/>
        <w:jc w:val="both"/>
        <w:rPr>
          <w:rFonts w:ascii="標楷體" w:eastAsia="標楷體"/>
        </w:rPr>
      </w:pPr>
      <w:r>
        <w:rPr>
          <w:rFonts w:ascii="標楷體" w:eastAsia="標楷體" w:hint="eastAsia"/>
        </w:rPr>
        <w:t>適用範圍</w:t>
      </w:r>
    </w:p>
    <w:p w:rsidR="00BE50C5" w:rsidRDefault="00BE50C5">
      <w:pPr>
        <w:numPr>
          <w:ilvl w:val="0"/>
          <w:numId w:val="3"/>
        </w:numPr>
        <w:tabs>
          <w:tab w:val="clear" w:pos="1335"/>
          <w:tab w:val="num" w:pos="1440"/>
        </w:tabs>
        <w:spacing w:line="400" w:lineRule="exact"/>
        <w:ind w:left="1440" w:hanging="900"/>
        <w:jc w:val="both"/>
        <w:rPr>
          <w:rFonts w:ascii="標楷體" w:eastAsia="標楷體"/>
        </w:rPr>
      </w:pPr>
      <w:r>
        <w:rPr>
          <w:rFonts w:ascii="標楷體" w:eastAsia="標楷體" w:hint="eastAsia"/>
        </w:rPr>
        <w:t>公司稽核人員辦理稽核事宜，依本制度規定辦理。</w:t>
      </w:r>
    </w:p>
    <w:p w:rsidR="00BE50C5" w:rsidRDefault="00BE50C5">
      <w:pPr>
        <w:numPr>
          <w:ilvl w:val="0"/>
          <w:numId w:val="3"/>
        </w:numPr>
        <w:tabs>
          <w:tab w:val="clear" w:pos="1335"/>
          <w:tab w:val="num" w:pos="1440"/>
        </w:tabs>
        <w:spacing w:line="400" w:lineRule="exact"/>
        <w:ind w:left="1440" w:hanging="900"/>
        <w:jc w:val="both"/>
        <w:rPr>
          <w:rFonts w:ascii="標楷體" w:eastAsia="標楷體"/>
        </w:rPr>
      </w:pPr>
      <w:r>
        <w:rPr>
          <w:rFonts w:ascii="標楷體" w:eastAsia="標楷體" w:hint="eastAsia"/>
        </w:rPr>
        <w:t>內部稽核工作執行範圍包括公司各單位及所屬分支機構。</w:t>
      </w:r>
    </w:p>
    <w:p w:rsidR="00BE50C5" w:rsidRDefault="00BE50C5">
      <w:pPr>
        <w:numPr>
          <w:ilvl w:val="0"/>
          <w:numId w:val="3"/>
        </w:numPr>
        <w:tabs>
          <w:tab w:val="clear" w:pos="1335"/>
          <w:tab w:val="num" w:pos="1440"/>
        </w:tabs>
        <w:spacing w:line="400" w:lineRule="exact"/>
        <w:ind w:left="1440" w:hanging="900"/>
        <w:jc w:val="both"/>
        <w:rPr>
          <w:rFonts w:ascii="標楷體" w:eastAsia="標楷體" w:hint="eastAsia"/>
        </w:rPr>
      </w:pPr>
      <w:r>
        <w:rPr>
          <w:rFonts w:ascii="標楷體" w:eastAsia="標楷體" w:hint="eastAsia"/>
        </w:rPr>
        <w:t>公司稽核人員辦理內部稽核工作，分定期及不定期二類，定期性稽核，由稽核人員依公司年度查核計畫執行；不定期性稽核，由稽核人員依指示或視業務需要辦理。</w:t>
      </w:r>
    </w:p>
    <w:p w:rsidR="00BE50C5" w:rsidRDefault="00BE50C5">
      <w:pPr>
        <w:numPr>
          <w:ilvl w:val="0"/>
          <w:numId w:val="3"/>
        </w:numPr>
        <w:tabs>
          <w:tab w:val="clear" w:pos="1335"/>
          <w:tab w:val="num" w:pos="1440"/>
        </w:tabs>
        <w:spacing w:line="400" w:lineRule="exact"/>
        <w:ind w:left="1440" w:hanging="900"/>
        <w:jc w:val="both"/>
        <w:rPr>
          <w:rFonts w:ascii="標楷體" w:eastAsia="標楷體" w:hint="eastAsia"/>
        </w:rPr>
      </w:pPr>
      <w:r>
        <w:rPr>
          <w:rFonts w:ascii="標楷體" w:eastAsia="標楷體" w:hint="eastAsia"/>
        </w:rPr>
        <w:t>總公司應定期對其分支機構督導查核其內部稽核作業，其作業週期係每半年每家分公司至少查核乙次。</w:t>
      </w:r>
    </w:p>
    <w:p w:rsidR="00BE50C5" w:rsidRDefault="00BE50C5">
      <w:pPr>
        <w:spacing w:line="400" w:lineRule="exact"/>
        <w:ind w:left="480"/>
        <w:jc w:val="both"/>
        <w:rPr>
          <w:rFonts w:ascii="標楷體" w:eastAsia="標楷體"/>
        </w:rPr>
      </w:pPr>
    </w:p>
    <w:p w:rsidR="00BE50C5" w:rsidRDefault="00BE50C5">
      <w:pPr>
        <w:numPr>
          <w:ilvl w:val="0"/>
          <w:numId w:val="2"/>
        </w:numPr>
        <w:spacing w:line="400" w:lineRule="exact"/>
        <w:jc w:val="both"/>
        <w:rPr>
          <w:rFonts w:ascii="標楷體" w:eastAsia="標楷體"/>
        </w:rPr>
      </w:pPr>
      <w:r>
        <w:rPr>
          <w:rFonts w:ascii="標楷體" w:eastAsia="標楷體" w:hint="eastAsia"/>
        </w:rPr>
        <w:t>稽核目的</w:t>
      </w:r>
    </w:p>
    <w:p w:rsidR="00BE50C5" w:rsidRDefault="00BE50C5">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val="0"/>
        <w:spacing w:line="400" w:lineRule="exact"/>
        <w:ind w:left="720"/>
        <w:jc w:val="both"/>
        <w:textAlignment w:val="baseline"/>
        <w:rPr>
          <w:rFonts w:ascii="標楷體" w:eastAsia="標楷體" w:hAnsi="標楷體" w:hint="eastAsia"/>
          <w:color w:val="auto"/>
        </w:rPr>
      </w:pPr>
      <w:r>
        <w:rPr>
          <w:rFonts w:ascii="標楷體" w:eastAsia="標楷體" w:hAnsi="標楷體" w:hint="eastAsia"/>
          <w:color w:val="auto"/>
        </w:rPr>
        <w:t>內部稽核之目的，在於</w:t>
      </w:r>
      <w:r>
        <w:rPr>
          <w:rFonts w:ascii="標楷體" w:eastAsia="標楷體" w:hAnsi="標楷體"/>
          <w:color w:val="auto"/>
        </w:rPr>
        <w:t>協助董事會及經理人檢查及覆核內部控制制度之缺失及衡量營運之效果及效率，並適時提供改進建議，以確保內部控制制度得以持續有效實施及作為檢討修正內部控制制度之依據</w:t>
      </w:r>
      <w:r>
        <w:rPr>
          <w:rFonts w:ascii="標楷體" w:eastAsia="標楷體" w:hAnsi="標楷體" w:hint="eastAsia"/>
          <w:color w:val="auto"/>
        </w:rPr>
        <w:t>。</w:t>
      </w:r>
    </w:p>
    <w:p w:rsidR="00BE50C5" w:rsidRDefault="00BE50C5">
      <w:pPr>
        <w:pStyle w:val="a3"/>
        <w:spacing w:line="400" w:lineRule="exact"/>
        <w:ind w:left="616" w:hanging="28"/>
        <w:rPr>
          <w:spacing w:val="0"/>
          <w:sz w:val="24"/>
        </w:rPr>
      </w:pPr>
    </w:p>
    <w:p w:rsidR="00BE50C5" w:rsidRDefault="00BE50C5">
      <w:pPr>
        <w:numPr>
          <w:ilvl w:val="0"/>
          <w:numId w:val="2"/>
        </w:numPr>
        <w:tabs>
          <w:tab w:val="clear" w:pos="737"/>
          <w:tab w:val="num" w:pos="540"/>
        </w:tabs>
        <w:spacing w:line="400" w:lineRule="exact"/>
        <w:jc w:val="both"/>
        <w:rPr>
          <w:rFonts w:ascii="標楷體" w:eastAsia="標楷體" w:hint="eastAsia"/>
        </w:rPr>
      </w:pPr>
      <w:r>
        <w:rPr>
          <w:rFonts w:ascii="標楷體" w:eastAsia="標楷體" w:hint="eastAsia"/>
        </w:rPr>
        <w:t>內部稽核單位之組織編</w:t>
      </w:r>
      <w:r w:rsidR="0065724B">
        <w:rPr>
          <w:rFonts w:ascii="標楷體" w:eastAsia="標楷體" w:hint="eastAsia"/>
        </w:rPr>
        <w:t>制</w:t>
      </w:r>
    </w:p>
    <w:p w:rsidR="00BE50C5" w:rsidRPr="004E19A3" w:rsidRDefault="00BE50C5">
      <w:pPr>
        <w:numPr>
          <w:ilvl w:val="0"/>
          <w:numId w:val="26"/>
        </w:numPr>
        <w:tabs>
          <w:tab w:val="clear" w:pos="1335"/>
          <w:tab w:val="num" w:pos="1440"/>
        </w:tabs>
        <w:spacing w:line="400" w:lineRule="exact"/>
        <w:ind w:left="1440" w:hanging="900"/>
        <w:jc w:val="both"/>
        <w:rPr>
          <w:rFonts w:ascii="標楷體" w:eastAsia="標楷體" w:hAnsi="標楷體" w:hint="eastAsia"/>
        </w:rPr>
      </w:pPr>
      <w:r>
        <w:rPr>
          <w:rFonts w:ascii="標楷體" w:eastAsia="標楷體" w:hAnsi="標楷體" w:hint="eastAsia"/>
        </w:rPr>
        <w:t>期貨信託事業應設置隸屬於董事會之內部稽核單位，並應其規模、業務狀況及管理需要，並依其規模、業務狀況及管理需要。配置適任及適當人數之專任內部稽核人員</w:t>
      </w:r>
      <w:r w:rsidR="0065724B" w:rsidRPr="004E19A3">
        <w:rPr>
          <w:rFonts w:ascii="標楷體" w:eastAsia="標楷體" w:hAnsi="新細明體"/>
        </w:rPr>
        <w:t>，並應設置職務代理人，其代理執行稽核業務應依</w:t>
      </w:r>
      <w:r w:rsidR="0065724B" w:rsidRPr="004E19A3">
        <w:rPr>
          <w:rFonts w:ascii="標楷體" w:eastAsia="標楷體" w:hAnsi="新細明體" w:hint="eastAsia"/>
        </w:rPr>
        <w:t>「證券暨期貨市場各服務事業建立內部控制制度處理準則」</w:t>
      </w:r>
      <w:r w:rsidR="0065724B" w:rsidRPr="004E19A3">
        <w:rPr>
          <w:rFonts w:ascii="標楷體" w:eastAsia="標楷體" w:hAnsi="新細明體"/>
        </w:rPr>
        <w:t>規定辦理</w:t>
      </w:r>
      <w:r w:rsidR="0065724B" w:rsidRPr="004E19A3">
        <w:rPr>
          <w:rFonts w:ascii="標楷體" w:eastAsia="標楷體" w:hAnsi="新細明體" w:hint="eastAsia"/>
        </w:rPr>
        <w:t>。公司應設有內部稽核主管，綜理稽核業務，其應具備領導及有效督導稽核工作之能力</w:t>
      </w:r>
      <w:r w:rsidRPr="004E19A3">
        <w:rPr>
          <w:rFonts w:ascii="標楷體" w:eastAsia="標楷體" w:hAnsi="標楷體" w:hint="eastAsia"/>
        </w:rPr>
        <w:t>。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p>
    <w:p w:rsidR="00BE50C5" w:rsidRPr="004E19A3" w:rsidRDefault="00BE50C5">
      <w:pPr>
        <w:numPr>
          <w:ilvl w:val="0"/>
          <w:numId w:val="26"/>
        </w:numPr>
        <w:tabs>
          <w:tab w:val="clear" w:pos="1335"/>
          <w:tab w:val="num" w:pos="1440"/>
        </w:tabs>
        <w:spacing w:line="400" w:lineRule="exact"/>
        <w:ind w:left="1440" w:hanging="900"/>
        <w:jc w:val="both"/>
        <w:rPr>
          <w:rFonts w:ascii="標楷體" w:eastAsia="標楷體" w:hAnsi="標楷體" w:hint="eastAsia"/>
        </w:rPr>
      </w:pPr>
      <w:r w:rsidRPr="004E19A3">
        <w:rPr>
          <w:rFonts w:ascii="標楷體" w:eastAsia="標楷體" w:hAnsi="標楷體" w:cs="細明體"/>
          <w:szCs w:val="24"/>
        </w:rPr>
        <w:t>內部</w:t>
      </w:r>
      <w:r w:rsidRPr="004E19A3">
        <w:rPr>
          <w:rFonts w:ascii="標楷體" w:eastAsia="標楷體" w:hAnsi="標楷體"/>
        </w:rPr>
        <w:t>稽核</w:t>
      </w:r>
      <w:r w:rsidRPr="004E19A3">
        <w:rPr>
          <w:rFonts w:ascii="標楷體" w:eastAsia="標楷體" w:hAnsi="標楷體" w:cs="細明體"/>
          <w:szCs w:val="24"/>
        </w:rPr>
        <w:t>主管之任免，應於董事會通過之日起五日內填報異動原因併董事會會議紀錄申報主管機關備查</w:t>
      </w:r>
      <w:r w:rsidRPr="004E19A3">
        <w:rPr>
          <w:rFonts w:ascii="標楷體" w:eastAsia="標楷體" w:hAnsi="標楷體" w:cs="新細明體"/>
          <w:szCs w:val="24"/>
        </w:rPr>
        <w:t>。</w:t>
      </w:r>
    </w:p>
    <w:p w:rsidR="00BE50C5" w:rsidRPr="004E19A3" w:rsidRDefault="00BE50C5">
      <w:pPr>
        <w:numPr>
          <w:ilvl w:val="0"/>
          <w:numId w:val="26"/>
        </w:numPr>
        <w:tabs>
          <w:tab w:val="clear" w:pos="1335"/>
          <w:tab w:val="num" w:pos="1440"/>
        </w:tabs>
        <w:spacing w:line="400" w:lineRule="exact"/>
        <w:ind w:left="1440" w:hanging="900"/>
        <w:jc w:val="both"/>
        <w:rPr>
          <w:rFonts w:ascii="標楷體" w:eastAsia="標楷體" w:hAnsi="標楷體" w:cs="細明體" w:hint="eastAsia"/>
          <w:szCs w:val="24"/>
        </w:rPr>
      </w:pPr>
      <w:r w:rsidRPr="004E19A3">
        <w:rPr>
          <w:rFonts w:ascii="標楷體" w:eastAsia="標楷體" w:hAnsi="標楷體" w:cs="細明體"/>
          <w:szCs w:val="24"/>
        </w:rPr>
        <w:lastRenderedPageBreak/>
        <w:t>內部稽核人員之姓名、年齡、學歷、經歷、服務年資及所受訓練等資料依主管機關規定格式及方式於每年一月底前申報主管機關備查。</w:t>
      </w:r>
    </w:p>
    <w:p w:rsidR="00BE50C5" w:rsidRPr="004E19A3" w:rsidRDefault="00BE50C5">
      <w:pPr>
        <w:spacing w:line="400" w:lineRule="exact"/>
        <w:jc w:val="both"/>
        <w:rPr>
          <w:rFonts w:ascii="標楷體" w:eastAsia="標楷體" w:hint="eastAsia"/>
        </w:rPr>
      </w:pPr>
    </w:p>
    <w:p w:rsidR="00BE50C5" w:rsidRPr="004E19A3" w:rsidRDefault="00BE50C5">
      <w:pPr>
        <w:numPr>
          <w:ilvl w:val="0"/>
          <w:numId w:val="2"/>
        </w:numPr>
        <w:tabs>
          <w:tab w:val="clear" w:pos="737"/>
          <w:tab w:val="num" w:pos="540"/>
        </w:tabs>
        <w:spacing w:line="400" w:lineRule="exact"/>
        <w:jc w:val="both"/>
        <w:rPr>
          <w:rFonts w:ascii="標楷體" w:eastAsia="標楷體" w:hint="eastAsia"/>
        </w:rPr>
      </w:pPr>
      <w:r w:rsidRPr="004E19A3">
        <w:rPr>
          <w:rFonts w:ascii="標楷體" w:eastAsia="標楷體" w:hint="eastAsia"/>
        </w:rPr>
        <w:t>內部稽核單位之職能</w:t>
      </w:r>
    </w:p>
    <w:p w:rsidR="00BE50C5" w:rsidRPr="004E19A3" w:rsidRDefault="00BE50C5">
      <w:pPr>
        <w:pStyle w:val="a3"/>
        <w:spacing w:line="400" w:lineRule="exact"/>
        <w:ind w:left="720"/>
        <w:rPr>
          <w:rFonts w:hint="eastAsia"/>
          <w:spacing w:val="0"/>
          <w:sz w:val="24"/>
        </w:rPr>
      </w:pPr>
      <w:r w:rsidRPr="004E19A3">
        <w:rPr>
          <w:rFonts w:hint="eastAsia"/>
          <w:spacing w:val="0"/>
          <w:sz w:val="24"/>
        </w:rPr>
        <w:t>依據財團法人中華民國會計研究發展基金會審計準則委員會發布之審計準則公報第二十五號第四條及第五條之解釋：內部稽核係內部控制之一環，目的在協助管理階層善盡其責任。內部稽核之職能如下：</w:t>
      </w:r>
    </w:p>
    <w:p w:rsidR="00BE50C5" w:rsidRPr="004E19A3" w:rsidRDefault="00BE50C5">
      <w:pPr>
        <w:numPr>
          <w:ilvl w:val="0"/>
          <w:numId w:val="4"/>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檢查保護資產安全之措施是否適當。</w:t>
      </w:r>
    </w:p>
    <w:p w:rsidR="00BE50C5" w:rsidRPr="004E19A3" w:rsidRDefault="00BE50C5">
      <w:pPr>
        <w:numPr>
          <w:ilvl w:val="0"/>
          <w:numId w:val="4"/>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檢查會計及業務資訊是否可靠及完整。</w:t>
      </w:r>
    </w:p>
    <w:p w:rsidR="00BE50C5" w:rsidRPr="004E19A3" w:rsidRDefault="00BE50C5">
      <w:pPr>
        <w:numPr>
          <w:ilvl w:val="0"/>
          <w:numId w:val="4"/>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檢查各項資源之運用是否有效率。</w:t>
      </w:r>
    </w:p>
    <w:p w:rsidR="00BE50C5" w:rsidRPr="004E19A3" w:rsidRDefault="00BE50C5">
      <w:pPr>
        <w:numPr>
          <w:ilvl w:val="0"/>
          <w:numId w:val="4"/>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檢查各項營運活動是否按照既定計畫執行，並達成預期目標。</w:t>
      </w:r>
    </w:p>
    <w:p w:rsidR="00BE50C5" w:rsidRPr="004E19A3" w:rsidRDefault="00BE50C5">
      <w:pPr>
        <w:numPr>
          <w:ilvl w:val="0"/>
          <w:numId w:val="4"/>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調查內部控制是否持續有效運作，並提出改善之建議。</w:t>
      </w:r>
    </w:p>
    <w:p w:rsidR="00BE50C5" w:rsidRPr="004E19A3" w:rsidRDefault="00BE50C5">
      <w:pPr>
        <w:spacing w:line="400" w:lineRule="exact"/>
        <w:ind w:left="588" w:hanging="228"/>
        <w:jc w:val="both"/>
        <w:rPr>
          <w:rFonts w:ascii="標楷體" w:eastAsia="標楷體"/>
        </w:rPr>
      </w:pPr>
    </w:p>
    <w:p w:rsidR="00BE50C5" w:rsidRPr="004E19A3" w:rsidRDefault="00BE50C5">
      <w:pPr>
        <w:numPr>
          <w:ilvl w:val="0"/>
          <w:numId w:val="2"/>
        </w:numPr>
        <w:spacing w:line="400" w:lineRule="exact"/>
        <w:jc w:val="both"/>
        <w:rPr>
          <w:rFonts w:ascii="標楷體" w:eastAsia="標楷體"/>
        </w:rPr>
      </w:pPr>
      <w:r w:rsidRPr="004E19A3">
        <w:rPr>
          <w:rFonts w:ascii="標楷體" w:eastAsia="標楷體" w:hint="eastAsia"/>
        </w:rPr>
        <w:t>稽核人員職責及工作範圍</w:t>
      </w:r>
    </w:p>
    <w:p w:rsidR="00BE50C5" w:rsidRPr="004E19A3" w:rsidRDefault="00BE50C5">
      <w:pPr>
        <w:numPr>
          <w:ilvl w:val="0"/>
          <w:numId w:val="5"/>
        </w:numPr>
        <w:tabs>
          <w:tab w:val="num" w:pos="1440"/>
        </w:tabs>
        <w:spacing w:line="400" w:lineRule="exact"/>
        <w:ind w:left="1440" w:hanging="720"/>
        <w:jc w:val="both"/>
        <w:rPr>
          <w:rFonts w:ascii="標楷體" w:eastAsia="標楷體" w:hint="eastAsia"/>
        </w:rPr>
      </w:pPr>
      <w:r w:rsidRPr="004E19A3">
        <w:rPr>
          <w:rFonts w:ascii="標楷體" w:eastAsia="標楷體" w:hint="eastAsia"/>
        </w:rPr>
        <w:t>稽核人員秉承公司董事會之指揮監督，執行公司內部稽核工作。</w:t>
      </w:r>
    </w:p>
    <w:p w:rsidR="00BE50C5" w:rsidRPr="004E19A3" w:rsidRDefault="00BE50C5">
      <w:pPr>
        <w:pStyle w:val="HTML"/>
        <w:spacing w:line="400" w:lineRule="exact"/>
        <w:ind w:leftChars="600" w:left="1680" w:hangingChars="100" w:hanging="240"/>
        <w:rPr>
          <w:rFonts w:eastAsia="標楷體" w:hint="eastAsia"/>
          <w:color w:val="auto"/>
        </w:rPr>
      </w:pPr>
      <w:r w:rsidRPr="004E19A3">
        <w:rPr>
          <w:rFonts w:ascii="Arial" w:eastAsia="標楷體" w:cs="Arial" w:hint="eastAsia"/>
          <w:color w:val="auto"/>
        </w:rPr>
        <w:t>1.</w:t>
      </w:r>
      <w:r w:rsidRPr="004E19A3">
        <w:rPr>
          <w:rFonts w:ascii="Arial" w:eastAsia="標楷體" w:cs="Arial" w:hint="eastAsia"/>
          <w:color w:val="auto"/>
        </w:rPr>
        <w:t>內部稽核單位應依風險評估結果擬訂年度稽核計畫，</w:t>
      </w:r>
      <w:r w:rsidRPr="004E19A3">
        <w:rPr>
          <w:rFonts w:ascii="Arial" w:eastAsia="標楷體" w:cs="Arial"/>
          <w:color w:val="auto"/>
        </w:rPr>
        <w:t>應包括每月應稽核之項目，年度稽核計畫並應確實執行，據以</w:t>
      </w:r>
      <w:r w:rsidR="00CE4E58" w:rsidRPr="004E19A3">
        <w:rPr>
          <w:rFonts w:ascii="標楷體" w:eastAsia="標楷體" w:hAnsi="新細明體" w:hint="eastAsia"/>
          <w:color w:val="auto"/>
        </w:rPr>
        <w:t>評估</w:t>
      </w:r>
      <w:r w:rsidRPr="004E19A3">
        <w:rPr>
          <w:rFonts w:ascii="Arial" w:eastAsia="標楷體" w:cs="Arial" w:hint="eastAsia"/>
          <w:color w:val="auto"/>
        </w:rPr>
        <w:t>公司</w:t>
      </w:r>
      <w:r w:rsidRPr="004E19A3">
        <w:rPr>
          <w:rFonts w:ascii="Arial" w:eastAsia="標楷體" w:cs="Arial"/>
          <w:color w:val="auto"/>
        </w:rPr>
        <w:t>之內部控制制度，並檢附工作底稿及相關資料等作成稽核報告。</w:t>
      </w:r>
      <w:r w:rsidRPr="004E19A3">
        <w:rPr>
          <w:rFonts w:ascii="標楷體" w:eastAsia="標楷體"/>
          <w:color w:val="auto"/>
        </w:rPr>
        <w:t>年度稽核計畫至少應包括將基金之操作、申購、買回、出借或借入有價證券、會計等控制作業列為每月應稽核之項目。</w:t>
      </w:r>
      <w:r w:rsidRPr="004E19A3">
        <w:rPr>
          <w:rFonts w:eastAsia="標楷體"/>
          <w:color w:val="auto"/>
        </w:rPr>
        <w:t>事業</w:t>
      </w:r>
      <w:r w:rsidRPr="004E19A3">
        <w:rPr>
          <w:rFonts w:eastAsia="標楷體" w:hint="eastAsia"/>
          <w:color w:val="auto"/>
        </w:rPr>
        <w:t>並至少應將</w:t>
      </w:r>
      <w:r w:rsidR="00CE4E58" w:rsidRPr="004E19A3">
        <w:rPr>
          <w:rFonts w:ascii="標楷體" w:eastAsia="標楷體" w:hAnsi="新細明體"/>
          <w:color w:val="auto"/>
        </w:rPr>
        <w:t>法令規章遵循事項</w:t>
      </w:r>
      <w:r w:rsidR="00CE4E58" w:rsidRPr="004E19A3">
        <w:rPr>
          <w:rFonts w:ascii="標楷體" w:eastAsia="標楷體" w:hAnsi="新細明體" w:hint="eastAsia"/>
          <w:color w:val="auto"/>
        </w:rPr>
        <w:t>、</w:t>
      </w:r>
      <w:r w:rsidRPr="004E19A3">
        <w:rPr>
          <w:rFonts w:eastAsia="標楷體" w:hint="eastAsia"/>
          <w:color w:val="auto"/>
        </w:rPr>
        <w:t>取得或處分資產</w:t>
      </w:r>
      <w:r w:rsidRPr="004E19A3">
        <w:rPr>
          <w:rFonts w:eastAsia="標楷體"/>
          <w:color w:val="auto"/>
        </w:rPr>
        <w:t>及關係人交易之管理等重大財務業務行為之控制作業、</w:t>
      </w:r>
      <w:r w:rsidR="00CE4E58" w:rsidRPr="004E19A3">
        <w:rPr>
          <w:rFonts w:ascii="標楷體" w:eastAsia="標楷體" w:hAnsi="新細明體"/>
          <w:color w:val="auto"/>
        </w:rPr>
        <w:t>財務報表編製流程之管理</w:t>
      </w:r>
      <w:r w:rsidR="00CE4E58" w:rsidRPr="004E19A3">
        <w:rPr>
          <w:rFonts w:ascii="標楷體" w:eastAsia="標楷體" w:hAnsi="新細明體" w:hint="eastAsia"/>
          <w:color w:val="auto"/>
        </w:rPr>
        <w:t>（包括</w:t>
      </w:r>
      <w:r w:rsidR="00CE4E58" w:rsidRPr="004E19A3">
        <w:rPr>
          <w:rFonts w:ascii="標楷體" w:eastAsia="標楷體" w:hAnsi="新細明體"/>
          <w:color w:val="auto"/>
        </w:rPr>
        <w:t>適用國際財務報導準則之管理、會計專業判斷程序、會計政策與估計變動之流程等</w:t>
      </w:r>
      <w:r w:rsidR="00CE4E58" w:rsidRPr="004E19A3">
        <w:rPr>
          <w:rFonts w:ascii="標楷體" w:eastAsia="標楷體" w:hAnsi="新細明體" w:hint="eastAsia"/>
          <w:color w:val="auto"/>
        </w:rPr>
        <w:t>）、</w:t>
      </w:r>
      <w:r>
        <w:rPr>
          <w:rFonts w:eastAsia="標楷體"/>
          <w:color w:val="auto"/>
        </w:rPr>
        <w:t>充分瞭解客戶、短線交易防制、洗錢防制</w:t>
      </w:r>
      <w:r w:rsidR="004E19A3" w:rsidRPr="0095701C">
        <w:rPr>
          <w:rFonts w:eastAsia="標楷體" w:hint="eastAsia"/>
          <w:color w:val="FF0000"/>
          <w:u w:val="single"/>
        </w:rPr>
        <w:t>及打擊資恐及其相關法令遵循之管理</w:t>
      </w:r>
      <w:r>
        <w:rPr>
          <w:rFonts w:eastAsia="標楷體"/>
          <w:color w:val="auto"/>
        </w:rPr>
        <w:t>、利害關係公司資料之管理、個人交易申報之管理、資通安全檢查</w:t>
      </w:r>
      <w:r w:rsidR="00CE4E58" w:rsidRPr="004E19A3">
        <w:rPr>
          <w:rFonts w:ascii="標楷體" w:eastAsia="標楷體" w:hAnsi="新細明體" w:hint="eastAsia"/>
          <w:color w:val="auto"/>
        </w:rPr>
        <w:t>、對金融消費者保護之管理</w:t>
      </w:r>
      <w:r w:rsidRPr="004E19A3">
        <w:rPr>
          <w:rFonts w:eastAsia="標楷體" w:hint="eastAsia"/>
          <w:color w:val="auto"/>
        </w:rPr>
        <w:t>等</w:t>
      </w:r>
      <w:r w:rsidRPr="004E19A3">
        <w:rPr>
          <w:rFonts w:eastAsia="標楷體"/>
          <w:color w:val="auto"/>
        </w:rPr>
        <w:t>列為每年年度稽核計畫之稽核項目。</w:t>
      </w:r>
    </w:p>
    <w:p w:rsidR="00CE4E58" w:rsidRPr="004E19A3" w:rsidRDefault="00BE50C5">
      <w:pPr>
        <w:spacing w:line="400" w:lineRule="exact"/>
        <w:ind w:left="1440"/>
        <w:jc w:val="both"/>
        <w:rPr>
          <w:rFonts w:ascii="Arial" w:eastAsia="標楷體" w:cs="Arial" w:hint="eastAsia"/>
        </w:rPr>
      </w:pPr>
      <w:r w:rsidRPr="004E19A3">
        <w:rPr>
          <w:rFonts w:ascii="Arial" w:eastAsia="標楷體" w:cs="Arial" w:hint="eastAsia"/>
        </w:rPr>
        <w:t>2.</w:t>
      </w:r>
      <w:r w:rsidR="00CE4E58" w:rsidRPr="004E19A3">
        <w:rPr>
          <w:rFonts w:ascii="標楷體" w:eastAsia="標楷體" w:hAnsi="新細明體" w:cs="細明體" w:hint="eastAsia"/>
        </w:rPr>
        <w:t>公司已依證券交易法規定設置審計委員會者，其</w:t>
      </w:r>
      <w:r w:rsidR="00CE4E58" w:rsidRPr="004E19A3">
        <w:rPr>
          <w:rFonts w:ascii="標楷體" w:eastAsia="標楷體" w:hAnsi="新細明體" w:cs="細明體"/>
        </w:rPr>
        <w:t>年度稽核計畫，尚應包括</w:t>
      </w:r>
      <w:r w:rsidR="00CE4E58" w:rsidRPr="004E19A3">
        <w:rPr>
          <w:rFonts w:ascii="標楷體" w:eastAsia="標楷體" w:hAnsi="新細明體" w:cs="細明體" w:hint="eastAsia"/>
        </w:rPr>
        <w:t>審計委員會議事</w:t>
      </w:r>
      <w:r w:rsidR="00CE4E58" w:rsidRPr="004E19A3">
        <w:rPr>
          <w:rFonts w:ascii="標楷體" w:eastAsia="標楷體" w:hAnsi="新細明體" w:cs="細明體"/>
        </w:rPr>
        <w:t>運作之管理</w:t>
      </w:r>
      <w:r w:rsidR="00CE4E58" w:rsidRPr="004E19A3">
        <w:rPr>
          <w:rFonts w:ascii="標楷體" w:eastAsia="標楷體" w:hAnsi="新細明體" w:cs="細明體" w:hint="eastAsia"/>
        </w:rPr>
        <w:t>。</w:t>
      </w:r>
    </w:p>
    <w:p w:rsidR="00BE50C5" w:rsidRPr="004E19A3" w:rsidRDefault="00CE4E58">
      <w:pPr>
        <w:spacing w:line="400" w:lineRule="exact"/>
        <w:ind w:left="1440"/>
        <w:jc w:val="both"/>
        <w:rPr>
          <w:rFonts w:ascii="Arial" w:eastAsia="標楷體" w:cs="Arial" w:hint="eastAsia"/>
        </w:rPr>
      </w:pPr>
      <w:r w:rsidRPr="004E19A3">
        <w:rPr>
          <w:rFonts w:ascii="Arial" w:eastAsia="標楷體" w:cs="Arial" w:hint="eastAsia"/>
        </w:rPr>
        <w:lastRenderedPageBreak/>
        <w:t>3.</w:t>
      </w:r>
      <w:r w:rsidR="00BE50C5" w:rsidRPr="004E19A3">
        <w:rPr>
          <w:rFonts w:ascii="Arial" w:eastAsia="標楷體" w:cs="Arial"/>
        </w:rPr>
        <w:t>年度稽核計畫應經董事會通過；修正時，亦同</w:t>
      </w:r>
      <w:r w:rsidR="00BE50C5" w:rsidRPr="004E19A3">
        <w:rPr>
          <w:rFonts w:ascii="Arial" w:eastAsia="標楷體" w:cs="Arial" w:hint="eastAsia"/>
        </w:rPr>
        <w:t>。</w:t>
      </w:r>
    </w:p>
    <w:p w:rsidR="00BE50C5" w:rsidRPr="004E19A3" w:rsidRDefault="00CE4E58">
      <w:pPr>
        <w:spacing w:line="400" w:lineRule="exact"/>
        <w:ind w:leftChars="600" w:left="1680" w:hangingChars="100" w:hanging="240"/>
        <w:jc w:val="both"/>
        <w:rPr>
          <w:rFonts w:ascii="Arial" w:eastAsia="標楷體" w:cs="Arial" w:hint="eastAsia"/>
        </w:rPr>
      </w:pPr>
      <w:r w:rsidRPr="004E19A3">
        <w:rPr>
          <w:rFonts w:ascii="Arial" w:eastAsia="標楷體" w:cs="Arial" w:hint="eastAsia"/>
        </w:rPr>
        <w:t>4</w:t>
      </w:r>
      <w:r w:rsidR="00BE50C5" w:rsidRPr="004E19A3">
        <w:rPr>
          <w:rFonts w:ascii="Arial" w:eastAsia="標楷體" w:cs="Arial" w:hint="eastAsia"/>
        </w:rPr>
        <w:t>.</w:t>
      </w:r>
      <w:r w:rsidR="00BE50C5" w:rsidRPr="004E19A3">
        <w:rPr>
          <w:rFonts w:ascii="Arial" w:eastAsia="標楷體" w:cs="Arial" w:hint="eastAsia"/>
        </w:rPr>
        <w:t>公司已設立獨立董事者</w:t>
      </w:r>
      <w:r w:rsidR="00BE50C5" w:rsidRPr="004E19A3">
        <w:rPr>
          <w:rFonts w:ascii="Arial" w:eastAsia="標楷體" w:cs="Arial"/>
        </w:rPr>
        <w:t>，</w:t>
      </w:r>
      <w:r w:rsidR="00BE50C5" w:rsidRPr="004E19A3">
        <w:rPr>
          <w:rFonts w:ascii="Arial" w:eastAsia="標楷體" w:cs="Arial" w:hint="eastAsia"/>
        </w:rPr>
        <w:t>將年度稽核計畫提報董事會討論時，</w:t>
      </w:r>
      <w:r w:rsidR="00BE50C5" w:rsidRPr="004E19A3">
        <w:rPr>
          <w:rFonts w:ascii="Arial" w:eastAsia="標楷體" w:cs="Arial"/>
        </w:rPr>
        <w:t>應充分考量各獨立董事之意見，</w:t>
      </w:r>
      <w:r w:rsidR="00BE50C5" w:rsidRPr="004E19A3">
        <w:rPr>
          <w:rFonts w:ascii="Arial" w:eastAsia="標楷體" w:cs="Arial" w:hint="eastAsia"/>
        </w:rPr>
        <w:t>獨立董事如有反對意見或保留意見，應於董事會議事錄載明。</w:t>
      </w:r>
    </w:p>
    <w:p w:rsidR="00BE50C5" w:rsidRPr="004E19A3" w:rsidRDefault="00CE4E58">
      <w:pPr>
        <w:pStyle w:val="HTML"/>
        <w:spacing w:line="400" w:lineRule="exact"/>
        <w:ind w:firstLineChars="600" w:firstLine="1440"/>
        <w:rPr>
          <w:rFonts w:ascii="標楷體" w:eastAsia="標楷體" w:hAnsi="標楷體"/>
          <w:color w:val="auto"/>
        </w:rPr>
      </w:pPr>
      <w:r w:rsidRPr="004E19A3">
        <w:rPr>
          <w:rFonts w:ascii="Arial" w:eastAsia="標楷體" w:hAnsi="Times New Roman" w:cs="Arial" w:hint="eastAsia"/>
          <w:color w:val="auto"/>
          <w:szCs w:val="20"/>
        </w:rPr>
        <w:t>5</w:t>
      </w:r>
      <w:r w:rsidR="00BE50C5" w:rsidRPr="004E19A3">
        <w:rPr>
          <w:rFonts w:ascii="Arial" w:eastAsia="標楷體" w:hAnsi="Times New Roman" w:cs="Arial" w:hint="eastAsia"/>
          <w:color w:val="auto"/>
          <w:szCs w:val="20"/>
        </w:rPr>
        <w:t>.</w:t>
      </w:r>
      <w:r w:rsidR="00BE50C5" w:rsidRPr="004E19A3">
        <w:rPr>
          <w:rFonts w:ascii="標楷體" w:eastAsia="標楷體" w:hAnsi="標楷體"/>
          <w:color w:val="auto"/>
        </w:rPr>
        <w:t>事業之內部稽核</w:t>
      </w:r>
      <w:r w:rsidR="00BE50C5" w:rsidRPr="004E19A3">
        <w:rPr>
          <w:rFonts w:ascii="標楷體" w:eastAsia="標楷體" w:hAnsi="標楷體" w:hint="eastAsia"/>
          <w:color w:val="auto"/>
        </w:rPr>
        <w:t>實施細則</w:t>
      </w:r>
      <w:r w:rsidR="00BE50C5" w:rsidRPr="004E19A3">
        <w:rPr>
          <w:rFonts w:ascii="標楷體" w:eastAsia="標楷體" w:hAnsi="標楷體"/>
          <w:color w:val="auto"/>
        </w:rPr>
        <w:t>至少應包括下列項目：</w:t>
      </w:r>
    </w:p>
    <w:p w:rsidR="00CE4E58" w:rsidRPr="004E19A3" w:rsidRDefault="00BE50C5">
      <w:pPr>
        <w:pStyle w:val="HTML"/>
        <w:spacing w:line="400" w:lineRule="exact"/>
        <w:ind w:firstLineChars="700" w:firstLine="1680"/>
        <w:rPr>
          <w:rFonts w:ascii="標楷體" w:eastAsia="標楷體" w:hAnsi="新細明體" w:hint="eastAsia"/>
          <w:color w:val="auto"/>
          <w:szCs w:val="20"/>
        </w:rPr>
      </w:pPr>
      <w:r w:rsidRPr="004E19A3">
        <w:rPr>
          <w:rFonts w:ascii="標楷體" w:eastAsia="標楷體" w:hAnsi="標楷體" w:hint="eastAsia"/>
          <w:color w:val="auto"/>
        </w:rPr>
        <w:t>(1)</w:t>
      </w:r>
      <w:r w:rsidR="00CE4E58" w:rsidRPr="004E19A3">
        <w:rPr>
          <w:rFonts w:ascii="標楷體" w:eastAsia="標楷體" w:hAnsi="新細明體" w:hint="eastAsia"/>
          <w:color w:val="auto"/>
          <w:szCs w:val="20"/>
        </w:rPr>
        <w:t>內部稽核單位之目的、職權及責任。</w:t>
      </w:r>
    </w:p>
    <w:p w:rsidR="00BE50C5" w:rsidRPr="004E19A3" w:rsidRDefault="00CE4E58">
      <w:pPr>
        <w:pStyle w:val="HTML"/>
        <w:spacing w:line="400" w:lineRule="exact"/>
        <w:ind w:firstLineChars="700" w:firstLine="1680"/>
        <w:rPr>
          <w:rFonts w:ascii="標楷體" w:eastAsia="標楷體" w:hAnsi="標楷體"/>
          <w:color w:val="auto"/>
        </w:rPr>
      </w:pPr>
      <w:r w:rsidRPr="004E19A3">
        <w:rPr>
          <w:rFonts w:ascii="標楷體" w:eastAsia="標楷體" w:hAnsi="標楷體" w:hint="eastAsia"/>
          <w:color w:val="auto"/>
        </w:rPr>
        <w:t>(2)</w:t>
      </w:r>
      <w:r w:rsidR="00BE50C5" w:rsidRPr="004E19A3">
        <w:rPr>
          <w:rFonts w:ascii="標楷體" w:eastAsia="標楷體" w:hAnsi="標楷體"/>
          <w:color w:val="auto"/>
        </w:rPr>
        <w:t>對內部控制制度進行</w:t>
      </w:r>
      <w:r w:rsidR="004C22E6" w:rsidRPr="004E19A3">
        <w:rPr>
          <w:rFonts w:ascii="標楷體" w:eastAsia="標楷體" w:hAnsi="新細明體" w:hint="eastAsia"/>
          <w:color w:val="auto"/>
        </w:rPr>
        <w:t>評估</w:t>
      </w:r>
      <w:r w:rsidR="00BE50C5" w:rsidRPr="004E19A3">
        <w:rPr>
          <w:rFonts w:ascii="標楷體" w:eastAsia="標楷體" w:hAnsi="標楷體"/>
          <w:color w:val="auto"/>
        </w:rPr>
        <w:t>，以衡量現行政策、程序之有效性及遵循程度與其對各項營運活動之影響。</w:t>
      </w:r>
    </w:p>
    <w:p w:rsidR="00BE50C5" w:rsidRPr="004E19A3" w:rsidRDefault="00BE50C5">
      <w:pPr>
        <w:pStyle w:val="HTML"/>
        <w:spacing w:line="400" w:lineRule="exact"/>
        <w:ind w:firstLineChars="700" w:firstLine="1680"/>
        <w:rPr>
          <w:rFonts w:ascii="標楷體" w:eastAsia="標楷體" w:hAnsi="標楷體"/>
          <w:color w:val="auto"/>
        </w:rPr>
      </w:pPr>
      <w:r w:rsidRPr="004E19A3">
        <w:rPr>
          <w:rFonts w:ascii="標楷體" w:eastAsia="標楷體" w:hAnsi="新細明體" w:hint="eastAsia"/>
          <w:color w:val="auto"/>
          <w:szCs w:val="20"/>
        </w:rPr>
        <w:t>(</w:t>
      </w:r>
      <w:r w:rsidR="00CE4E58" w:rsidRPr="004E19A3">
        <w:rPr>
          <w:rFonts w:ascii="標楷體" w:eastAsia="標楷體" w:hAnsi="新細明體" w:hint="eastAsia"/>
          <w:color w:val="auto"/>
          <w:szCs w:val="20"/>
        </w:rPr>
        <w:t>3</w:t>
      </w:r>
      <w:r w:rsidRPr="004E19A3">
        <w:rPr>
          <w:rFonts w:ascii="標楷體" w:eastAsia="標楷體" w:hAnsi="新細明體" w:hint="eastAsia"/>
          <w:color w:val="auto"/>
          <w:szCs w:val="20"/>
        </w:rPr>
        <w:t>)</w:t>
      </w:r>
      <w:r w:rsidRPr="004E19A3">
        <w:rPr>
          <w:rFonts w:ascii="標楷體" w:eastAsia="標楷體" w:hAnsi="標楷體"/>
          <w:color w:val="auto"/>
        </w:rPr>
        <w:t>釐定稽核項目、時間、程序及方法。</w:t>
      </w:r>
    </w:p>
    <w:p w:rsidR="00BE50C5" w:rsidRPr="004E19A3" w:rsidRDefault="00BE50C5">
      <w:pPr>
        <w:numPr>
          <w:ilvl w:val="0"/>
          <w:numId w:val="5"/>
        </w:numPr>
        <w:tabs>
          <w:tab w:val="num" w:pos="1440"/>
        </w:tabs>
        <w:spacing w:line="400" w:lineRule="exact"/>
        <w:ind w:left="1440" w:hanging="720"/>
        <w:jc w:val="both"/>
        <w:rPr>
          <w:rFonts w:ascii="標楷體" w:eastAsia="標楷體"/>
        </w:rPr>
      </w:pPr>
      <w:r w:rsidRPr="004E19A3">
        <w:rPr>
          <w:rFonts w:ascii="標楷體" w:eastAsia="標楷體" w:hint="eastAsia"/>
        </w:rPr>
        <w:t>稽核人員執行工作遇有疑問時，應於獲得解釋及徹底瞭解後，方得提出處理意見。</w:t>
      </w:r>
    </w:p>
    <w:p w:rsidR="00BE50C5" w:rsidRPr="004E19A3" w:rsidRDefault="00BE50C5">
      <w:pPr>
        <w:numPr>
          <w:ilvl w:val="0"/>
          <w:numId w:val="5"/>
        </w:numPr>
        <w:tabs>
          <w:tab w:val="num" w:pos="1440"/>
        </w:tabs>
        <w:spacing w:line="400" w:lineRule="exact"/>
        <w:ind w:left="1440" w:hanging="720"/>
        <w:jc w:val="both"/>
        <w:rPr>
          <w:rFonts w:ascii="標楷體" w:eastAsia="標楷體"/>
        </w:rPr>
      </w:pPr>
      <w:r w:rsidRPr="004E19A3">
        <w:rPr>
          <w:rFonts w:ascii="標楷體" w:eastAsia="標楷體" w:hint="eastAsia"/>
        </w:rPr>
        <w:t>稽核人員執行內部稽核工作，以完成下列任務為目的：</w:t>
      </w:r>
    </w:p>
    <w:p w:rsidR="00BE50C5" w:rsidRPr="004E19A3" w:rsidRDefault="00BE50C5">
      <w:pPr>
        <w:numPr>
          <w:ilvl w:val="0"/>
          <w:numId w:val="24"/>
        </w:numPr>
        <w:tabs>
          <w:tab w:val="clear" w:pos="1768"/>
          <w:tab w:val="num" w:pos="1980"/>
        </w:tabs>
        <w:spacing w:line="400" w:lineRule="exact"/>
        <w:ind w:left="1980"/>
        <w:jc w:val="both"/>
        <w:rPr>
          <w:rFonts w:ascii="Arial" w:eastAsia="標楷體" w:hAnsi="Arial" w:cs="Arial"/>
        </w:rPr>
      </w:pPr>
      <w:r w:rsidRPr="004E19A3">
        <w:rPr>
          <w:rFonts w:ascii="Arial" w:eastAsia="標楷體" w:cs="Arial"/>
        </w:rPr>
        <w:t>稽核內部控制制度是否有效且完備。</w:t>
      </w:r>
    </w:p>
    <w:p w:rsidR="00BE50C5" w:rsidRPr="004E19A3" w:rsidRDefault="00BE50C5">
      <w:pPr>
        <w:numPr>
          <w:ilvl w:val="0"/>
          <w:numId w:val="24"/>
        </w:numPr>
        <w:tabs>
          <w:tab w:val="clear" w:pos="1768"/>
          <w:tab w:val="num" w:pos="1980"/>
        </w:tabs>
        <w:spacing w:line="400" w:lineRule="exact"/>
        <w:ind w:left="1980"/>
        <w:jc w:val="both"/>
        <w:rPr>
          <w:rFonts w:ascii="Arial" w:eastAsia="標楷體" w:cs="Arial"/>
        </w:rPr>
      </w:pPr>
      <w:r w:rsidRPr="004E19A3">
        <w:rPr>
          <w:rFonts w:ascii="Arial" w:eastAsia="標楷體" w:cs="Arial" w:hint="eastAsia"/>
        </w:rPr>
        <w:t>稽核各項資產是否實際存在，除帳（卡、檔）所列外，有無其他資產。</w:t>
      </w:r>
    </w:p>
    <w:p w:rsidR="00BE50C5" w:rsidRPr="004E19A3" w:rsidRDefault="00BE50C5">
      <w:pPr>
        <w:numPr>
          <w:ilvl w:val="0"/>
          <w:numId w:val="24"/>
        </w:numPr>
        <w:tabs>
          <w:tab w:val="clear" w:pos="1768"/>
          <w:tab w:val="num" w:pos="1980"/>
        </w:tabs>
        <w:spacing w:line="400" w:lineRule="exact"/>
        <w:ind w:left="1980"/>
        <w:jc w:val="both"/>
        <w:rPr>
          <w:rFonts w:ascii="Arial" w:eastAsia="標楷體" w:cs="Arial"/>
        </w:rPr>
      </w:pPr>
      <w:r w:rsidRPr="004E19A3">
        <w:rPr>
          <w:rFonts w:ascii="Arial" w:eastAsia="標楷體" w:cs="Arial" w:hint="eastAsia"/>
        </w:rPr>
        <w:t>稽核各項負債是否實際存在，除帳（卡、檔）所列外，有無其他負債。</w:t>
      </w:r>
    </w:p>
    <w:p w:rsidR="00BE50C5" w:rsidRPr="004E19A3" w:rsidRDefault="00BE50C5">
      <w:pPr>
        <w:numPr>
          <w:ilvl w:val="0"/>
          <w:numId w:val="24"/>
        </w:numPr>
        <w:tabs>
          <w:tab w:val="clear" w:pos="1768"/>
          <w:tab w:val="num" w:pos="1980"/>
        </w:tabs>
        <w:spacing w:line="400" w:lineRule="exact"/>
        <w:ind w:left="1980"/>
        <w:jc w:val="both"/>
        <w:rPr>
          <w:rFonts w:ascii="Arial" w:eastAsia="標楷體" w:cs="Arial"/>
        </w:rPr>
      </w:pPr>
      <w:r w:rsidRPr="004E19A3">
        <w:rPr>
          <w:rFonts w:ascii="Arial" w:eastAsia="標楷體" w:cs="Arial" w:hint="eastAsia"/>
        </w:rPr>
        <w:t>稽核各項收支及成本並與當期預算比較，如有超支或短收，應查明原因。入帳基礎分類標準計算結轉，是否悉照會計制度辦理。</w:t>
      </w:r>
    </w:p>
    <w:p w:rsidR="00BE50C5" w:rsidRPr="004E19A3" w:rsidRDefault="00BE50C5">
      <w:pPr>
        <w:numPr>
          <w:ilvl w:val="0"/>
          <w:numId w:val="24"/>
        </w:numPr>
        <w:tabs>
          <w:tab w:val="clear" w:pos="1768"/>
          <w:tab w:val="num" w:pos="1980"/>
        </w:tabs>
        <w:spacing w:line="400" w:lineRule="exact"/>
        <w:ind w:left="1980"/>
        <w:jc w:val="both"/>
        <w:rPr>
          <w:rFonts w:ascii="Arial" w:eastAsia="標楷體" w:cs="Arial"/>
        </w:rPr>
      </w:pPr>
      <w:r w:rsidRPr="004E19A3">
        <w:rPr>
          <w:rFonts w:ascii="Arial" w:eastAsia="標楷體" w:cs="Arial" w:hint="eastAsia"/>
        </w:rPr>
        <w:t>稽核帳</w:t>
      </w:r>
      <w:r w:rsidRPr="004E19A3">
        <w:rPr>
          <w:rFonts w:ascii="Arial" w:eastAsia="標楷體" w:cs="Arial"/>
        </w:rPr>
        <w:t>(</w:t>
      </w:r>
      <w:r w:rsidRPr="004E19A3">
        <w:rPr>
          <w:rFonts w:ascii="Arial" w:eastAsia="標楷體" w:cs="Arial" w:hint="eastAsia"/>
        </w:rPr>
        <w:t>卡、檔</w:t>
      </w:r>
      <w:r w:rsidRPr="004E19A3">
        <w:rPr>
          <w:rFonts w:ascii="Arial" w:eastAsia="標楷體" w:cs="Arial"/>
        </w:rPr>
        <w:t>)</w:t>
      </w:r>
      <w:r w:rsidRPr="004E19A3">
        <w:rPr>
          <w:rFonts w:ascii="Arial" w:eastAsia="標楷體" w:cs="Arial" w:hint="eastAsia"/>
        </w:rPr>
        <w:t>上所列數字，是否均有合法根據。</w:t>
      </w:r>
    </w:p>
    <w:p w:rsidR="00BE50C5" w:rsidRPr="004E19A3" w:rsidRDefault="00BE50C5">
      <w:pPr>
        <w:numPr>
          <w:ilvl w:val="0"/>
          <w:numId w:val="24"/>
        </w:numPr>
        <w:tabs>
          <w:tab w:val="clear" w:pos="1768"/>
          <w:tab w:val="num" w:pos="1980"/>
        </w:tabs>
        <w:spacing w:line="400" w:lineRule="exact"/>
        <w:ind w:left="1980"/>
        <w:jc w:val="both"/>
        <w:rPr>
          <w:rFonts w:ascii="Arial" w:eastAsia="標楷體" w:cs="Arial"/>
        </w:rPr>
      </w:pPr>
      <w:r w:rsidRPr="004E19A3">
        <w:rPr>
          <w:rFonts w:ascii="Arial" w:eastAsia="標楷體" w:cs="Arial" w:hint="eastAsia"/>
        </w:rPr>
        <w:t>稽核經營績效、成本比較、預算執行及財務狀況等並予以評核。</w:t>
      </w:r>
    </w:p>
    <w:p w:rsidR="00BE50C5" w:rsidRPr="004E19A3" w:rsidRDefault="00BE50C5">
      <w:pPr>
        <w:numPr>
          <w:ilvl w:val="0"/>
          <w:numId w:val="5"/>
        </w:numPr>
        <w:tabs>
          <w:tab w:val="num" w:pos="1440"/>
        </w:tabs>
        <w:spacing w:line="400" w:lineRule="exact"/>
        <w:ind w:left="1440" w:hanging="720"/>
        <w:jc w:val="both"/>
        <w:rPr>
          <w:rFonts w:ascii="標楷體" w:eastAsia="標楷體"/>
        </w:rPr>
      </w:pPr>
      <w:r w:rsidRPr="004E19A3">
        <w:rPr>
          <w:rFonts w:ascii="標楷體" w:eastAsia="標楷體" w:hint="eastAsia"/>
        </w:rPr>
        <w:t>稽核人員執行工作時，如發現員工有不當情事，除與其直屬主管連繫外，應即向公司最高主管報告，不得直接處理。</w:t>
      </w:r>
    </w:p>
    <w:p w:rsidR="00BE50C5" w:rsidRPr="004E19A3" w:rsidRDefault="00BE50C5">
      <w:pPr>
        <w:numPr>
          <w:ilvl w:val="0"/>
          <w:numId w:val="5"/>
        </w:numPr>
        <w:tabs>
          <w:tab w:val="num" w:pos="1440"/>
        </w:tabs>
        <w:spacing w:line="400" w:lineRule="exact"/>
        <w:ind w:left="1440" w:hanging="720"/>
        <w:jc w:val="both"/>
        <w:rPr>
          <w:rFonts w:ascii="標楷體" w:eastAsia="標楷體"/>
        </w:rPr>
      </w:pPr>
      <w:r w:rsidRPr="004E19A3">
        <w:rPr>
          <w:rFonts w:ascii="標楷體" w:eastAsia="標楷體" w:hint="eastAsia"/>
        </w:rPr>
        <w:t>稽核人員執行工作時，得調閱一切檔案，受查單位不得拒絕或隱匿，如屬機密性之檔案，應先報准後始得調閱。</w:t>
      </w:r>
    </w:p>
    <w:p w:rsidR="00BE50C5" w:rsidRPr="004E19A3" w:rsidRDefault="00BE50C5">
      <w:pPr>
        <w:numPr>
          <w:ilvl w:val="0"/>
          <w:numId w:val="5"/>
        </w:numPr>
        <w:tabs>
          <w:tab w:val="num" w:pos="1440"/>
        </w:tabs>
        <w:spacing w:line="400" w:lineRule="exact"/>
        <w:ind w:left="1440" w:hanging="720"/>
        <w:jc w:val="both"/>
        <w:rPr>
          <w:rFonts w:ascii="標楷體" w:eastAsia="標楷體"/>
        </w:rPr>
      </w:pPr>
      <w:r w:rsidRPr="004E19A3">
        <w:rPr>
          <w:rFonts w:ascii="標楷體" w:eastAsia="標楷體" w:hint="eastAsia"/>
        </w:rPr>
        <w:t>稽核人員每次查核完畢，應填寫稽核報告，並檢附相關文件呈報所見缺失及改進建議，再繼續追蹤改善情形。</w:t>
      </w:r>
    </w:p>
    <w:p w:rsidR="00BE50C5" w:rsidRPr="004E19A3" w:rsidRDefault="00BE50C5">
      <w:pPr>
        <w:numPr>
          <w:ilvl w:val="0"/>
          <w:numId w:val="5"/>
        </w:numPr>
        <w:tabs>
          <w:tab w:val="num" w:pos="1440"/>
        </w:tabs>
        <w:spacing w:line="400" w:lineRule="exact"/>
        <w:ind w:left="1440" w:hanging="720"/>
        <w:jc w:val="both"/>
        <w:rPr>
          <w:rFonts w:ascii="標楷體" w:eastAsia="標楷體" w:hint="eastAsia"/>
        </w:rPr>
      </w:pPr>
      <w:r w:rsidRPr="004E19A3">
        <w:rPr>
          <w:rFonts w:ascii="標楷體" w:eastAsia="標楷體" w:hint="eastAsia"/>
        </w:rPr>
        <w:t>稽核報告應依規定格式填寫，包括查核日期、查核項目、查核經過內容(所見事實、違反何種規章、所採措施如何)及改進建議等，且裝訂成冊並於封面註明起迄時間，妥為保管；其中稽核報告（含查核明細表）、工作底稿及相關資料至少應保存</w:t>
      </w:r>
      <w:r w:rsidR="00550F15" w:rsidRPr="004E19A3">
        <w:rPr>
          <w:rFonts w:ascii="標楷體" w:eastAsia="標楷體" w:hAnsi="新細明體" w:hint="eastAsia"/>
        </w:rPr>
        <w:t>五</w:t>
      </w:r>
      <w:r w:rsidRPr="004E19A3">
        <w:rPr>
          <w:rFonts w:ascii="標楷體" w:eastAsia="標楷體" w:hint="eastAsia"/>
        </w:rPr>
        <w:t>年。但對事實未發生之查核項目得於稽核報告上註明即可，毋庸檢附相關查核明細表及工作底</w:t>
      </w:r>
      <w:r w:rsidRPr="004E19A3">
        <w:rPr>
          <w:rFonts w:ascii="標楷體" w:eastAsia="標楷體" w:hint="eastAsia"/>
        </w:rPr>
        <w:lastRenderedPageBreak/>
        <w:t>稿。另有關內部稽核工作執行情形尚應依規定按期申報相關單位備查。</w:t>
      </w:r>
    </w:p>
    <w:p w:rsidR="00BE50C5" w:rsidRPr="004E19A3" w:rsidRDefault="00BE50C5">
      <w:pPr>
        <w:numPr>
          <w:ilvl w:val="0"/>
          <w:numId w:val="5"/>
        </w:numPr>
        <w:tabs>
          <w:tab w:val="num" w:pos="1440"/>
        </w:tabs>
        <w:spacing w:line="400" w:lineRule="exact"/>
        <w:ind w:left="1440" w:hanging="720"/>
        <w:jc w:val="both"/>
        <w:rPr>
          <w:rFonts w:ascii="標楷體" w:eastAsia="標楷體" w:hint="eastAsia"/>
        </w:rPr>
      </w:pPr>
      <w:r w:rsidRPr="004E19A3">
        <w:rPr>
          <w:rFonts w:ascii="標楷體" w:eastAsia="標楷體"/>
        </w:rPr>
        <w:t>內部稽核人員</w:t>
      </w:r>
      <w:r w:rsidR="00550F15" w:rsidRPr="004E19A3">
        <w:rPr>
          <w:rFonts w:ascii="標楷體" w:eastAsia="標楷體" w:hAnsi="新細明體" w:hint="eastAsia"/>
        </w:rPr>
        <w:t>應與受查單位就年度稽核項目查核結果充分溝通，</w:t>
      </w:r>
      <w:r w:rsidR="00550F15" w:rsidRPr="004E19A3">
        <w:rPr>
          <w:rFonts w:ascii="標楷體" w:eastAsia="標楷體" w:hAnsi="新細明體"/>
        </w:rPr>
        <w:t>對於評估</w:t>
      </w:r>
      <w:r w:rsidRPr="004E19A3">
        <w:rPr>
          <w:rFonts w:ascii="標楷體" w:eastAsia="標楷體"/>
        </w:rPr>
        <w:t>所發現之內部控制制度缺失及異常事項（</w:t>
      </w:r>
      <w:r w:rsidRPr="004E19A3">
        <w:rPr>
          <w:rFonts w:ascii="標楷體" w:eastAsia="標楷體" w:hint="eastAsia"/>
        </w:rPr>
        <w:t>包括主管機關或自律機構檢查所發現、內部稽核作業所發現、內部控制制度聲明書所列、自行</w:t>
      </w:r>
      <w:r w:rsidR="002362C8" w:rsidRPr="004E19A3">
        <w:rPr>
          <w:rFonts w:ascii="標楷體" w:eastAsia="標楷體" w:hAnsi="新細明體"/>
        </w:rPr>
        <w:t>評估</w:t>
      </w:r>
      <w:r w:rsidRPr="004E19A3">
        <w:rPr>
          <w:rFonts w:ascii="標楷體" w:eastAsia="標楷體" w:hint="eastAsia"/>
        </w:rPr>
        <w:t>及會計師專案審查所發現之各項缺失</w:t>
      </w:r>
      <w:r w:rsidRPr="004E19A3">
        <w:rPr>
          <w:rFonts w:ascii="標楷體" w:eastAsia="標楷體"/>
        </w:rPr>
        <w:t>），應據實揭露於稽核報告，並於該報告陳核後加以追蹤，定期作成追蹤報告，以確定相關單位業已及時採取適當之改善措施。</w:t>
      </w:r>
    </w:p>
    <w:p w:rsidR="00BE50C5" w:rsidRPr="004E19A3" w:rsidRDefault="00BE50C5">
      <w:pPr>
        <w:spacing w:line="400" w:lineRule="exact"/>
        <w:ind w:left="1440"/>
        <w:jc w:val="both"/>
        <w:rPr>
          <w:rFonts w:ascii="標楷體" w:eastAsia="標楷體" w:hint="eastAsia"/>
        </w:rPr>
      </w:pPr>
      <w:r w:rsidRPr="004E19A3">
        <w:rPr>
          <w:rFonts w:ascii="標楷體" w:eastAsia="標楷體" w:hint="eastAsia"/>
        </w:rPr>
        <w:t>總分公司間，應建立異常事項即時通報機制，以確保分公司異常事項能即時通報總公司稽核主管。且公司應將內部控制制度缺失、異常事項及改善情形</w:t>
      </w:r>
      <w:r w:rsidRPr="004E19A3">
        <w:rPr>
          <w:rFonts w:ascii="標楷體" w:eastAsia="標楷體"/>
        </w:rPr>
        <w:t>，</w:t>
      </w:r>
      <w:r w:rsidRPr="004E19A3">
        <w:rPr>
          <w:rFonts w:ascii="標楷體" w:eastAsia="標楷體" w:hint="eastAsia"/>
        </w:rPr>
        <w:t>列為各部門績效考核之重要項目。</w:t>
      </w:r>
    </w:p>
    <w:p w:rsidR="00BE50C5" w:rsidRPr="004E19A3" w:rsidRDefault="00BE50C5">
      <w:pPr>
        <w:numPr>
          <w:ilvl w:val="0"/>
          <w:numId w:val="5"/>
        </w:numPr>
        <w:tabs>
          <w:tab w:val="num" w:pos="1440"/>
        </w:tabs>
        <w:spacing w:line="400" w:lineRule="exact"/>
        <w:ind w:left="1440" w:hanging="720"/>
        <w:jc w:val="both"/>
        <w:rPr>
          <w:rFonts w:ascii="標楷體" w:eastAsia="標楷體" w:hint="eastAsia"/>
        </w:rPr>
      </w:pPr>
      <w:r w:rsidRPr="004E19A3">
        <w:rPr>
          <w:rFonts w:ascii="標楷體" w:eastAsia="標楷體" w:hint="eastAsia"/>
        </w:rPr>
        <w:t>稽核報告及追蹤報告陳核後，應</w:t>
      </w:r>
      <w:r w:rsidRPr="004E19A3">
        <w:rPr>
          <w:rFonts w:ascii="標楷體" w:eastAsia="標楷體"/>
        </w:rPr>
        <w:t>於稽核項目完成之次月底前交付各監察人查閱。</w:t>
      </w:r>
      <w:r w:rsidRPr="004E19A3">
        <w:rPr>
          <w:rFonts w:ascii="標楷體" w:eastAsia="標楷體" w:hint="eastAsia"/>
        </w:rPr>
        <w:t>內部稽核人員如發現重大違規情事或公司有受重大損失之虞</w:t>
      </w:r>
      <w:r w:rsidR="00CA38D3" w:rsidRPr="0095701C">
        <w:rPr>
          <w:rFonts w:ascii="標楷體" w:eastAsia="標楷體" w:hAnsi="標楷體" w:hint="eastAsia"/>
          <w:color w:val="FF0000"/>
          <w:u w:val="single"/>
        </w:rPr>
        <w:t>等重大事件</w:t>
      </w:r>
      <w:r w:rsidRPr="004E19A3">
        <w:rPr>
          <w:rFonts w:ascii="標楷體" w:eastAsia="標楷體" w:hint="eastAsia"/>
        </w:rPr>
        <w:t>時，應立即作成報告陳核，</w:t>
      </w:r>
      <w:r w:rsidRPr="004E19A3">
        <w:rPr>
          <w:rFonts w:ascii="標楷體" w:eastAsia="標楷體"/>
        </w:rPr>
        <w:t>並通知各監察人</w:t>
      </w:r>
      <w:r w:rsidRPr="004E19A3">
        <w:rPr>
          <w:rFonts w:ascii="標楷體" w:eastAsia="標楷體" w:hint="eastAsia"/>
        </w:rPr>
        <w:t>。</w:t>
      </w:r>
      <w:r w:rsidR="002362C8" w:rsidRPr="004E19A3">
        <w:rPr>
          <w:rFonts w:ascii="標楷體" w:eastAsia="標楷體" w:hAnsi="新細明體" w:hint="eastAsia"/>
        </w:rPr>
        <w:t>如對前揭缺失事項所提改進建議不為管理階層採納，將肇致公司重大損失者，亦應作成報告陳核及通知各監察人，並通報主管機關。</w:t>
      </w:r>
      <w:r w:rsidRPr="004E19A3">
        <w:rPr>
          <w:rFonts w:ascii="標楷體" w:eastAsia="標楷體" w:hint="eastAsia"/>
        </w:rPr>
        <w:t>設有獨立董事者，應一併交付或通知獨立董事。</w:t>
      </w:r>
    </w:p>
    <w:p w:rsidR="00CA38D3" w:rsidRPr="0095701C" w:rsidRDefault="00CA38D3">
      <w:pPr>
        <w:numPr>
          <w:ilvl w:val="0"/>
          <w:numId w:val="5"/>
        </w:numPr>
        <w:tabs>
          <w:tab w:val="num" w:pos="1440"/>
        </w:tabs>
        <w:spacing w:line="400" w:lineRule="exact"/>
        <w:ind w:left="1440" w:hanging="720"/>
        <w:jc w:val="both"/>
        <w:rPr>
          <w:rFonts w:ascii="標楷體" w:eastAsia="標楷體" w:hint="eastAsia"/>
          <w:color w:val="FF0000"/>
        </w:rPr>
      </w:pPr>
      <w:r w:rsidRPr="0095701C">
        <w:rPr>
          <w:rFonts w:ascii="標楷體" w:eastAsia="標楷體" w:hAnsi="標楷體" w:hint="eastAsia"/>
          <w:color w:val="FF0000"/>
          <w:u w:val="single"/>
        </w:rPr>
        <w:t>公司於主管機關或國外分公司（或子公司）當地主管機關檢查結束或收到檢查報告後，總（母）公司之內部稽核單位應依重大性原則，即時通報董事及監察人，並提報最近一次董事會報告。報告事項應包括檢查溝通會議內容、主要檢查缺失、遭主管機關調降評等、主管機關要求採行之重大缺失改善方案或可能採行之處分措施。</w:t>
      </w:r>
    </w:p>
    <w:p w:rsidR="00BE50C5" w:rsidRPr="004E19A3" w:rsidRDefault="00BE50C5" w:rsidP="00CA38D3">
      <w:pPr>
        <w:numPr>
          <w:ilvl w:val="0"/>
          <w:numId w:val="5"/>
        </w:numPr>
        <w:tabs>
          <w:tab w:val="num" w:pos="1440"/>
          <w:tab w:val="num" w:pos="1985"/>
        </w:tabs>
        <w:spacing w:line="400" w:lineRule="exact"/>
        <w:ind w:left="1440" w:hanging="720"/>
        <w:jc w:val="both"/>
        <w:rPr>
          <w:rFonts w:ascii="標楷體" w:eastAsia="標楷體" w:hint="eastAsia"/>
        </w:rPr>
      </w:pPr>
      <w:r w:rsidRPr="004E19A3">
        <w:rPr>
          <w:rFonts w:ascii="標楷體" w:eastAsia="標楷體" w:hint="eastAsia"/>
        </w:rPr>
        <w:t>分公司稽核報告應至少每月一次由總公司稽核主管彙整陳核最高主管（董事長或董事會授權之主管）。</w:t>
      </w:r>
    </w:p>
    <w:p w:rsidR="00BE50C5" w:rsidRPr="004E19A3" w:rsidRDefault="00BE50C5" w:rsidP="00CA38D3">
      <w:pPr>
        <w:numPr>
          <w:ilvl w:val="0"/>
          <w:numId w:val="5"/>
        </w:numPr>
        <w:tabs>
          <w:tab w:val="num" w:pos="1440"/>
          <w:tab w:val="num" w:pos="1985"/>
        </w:tabs>
        <w:spacing w:line="400" w:lineRule="exact"/>
        <w:ind w:left="1440" w:hanging="720"/>
        <w:jc w:val="both"/>
        <w:rPr>
          <w:rFonts w:ascii="標楷體" w:eastAsia="標楷體" w:hint="eastAsia"/>
        </w:rPr>
      </w:pPr>
      <w:r w:rsidRPr="004E19A3">
        <w:rPr>
          <w:rFonts w:ascii="標楷體" w:eastAsia="標楷體" w:hint="eastAsia"/>
        </w:rPr>
        <w:t>辦理申報</w:t>
      </w:r>
      <w:r w:rsidRPr="004E19A3">
        <w:rPr>
          <w:rFonts w:ascii="Arial" w:eastAsia="標楷體" w:cs="Arial" w:hint="eastAsia"/>
        </w:rPr>
        <w:t>備查事項</w:t>
      </w:r>
    </w:p>
    <w:p w:rsidR="00BE50C5" w:rsidRPr="004E19A3" w:rsidRDefault="00BE50C5">
      <w:pPr>
        <w:numPr>
          <w:ilvl w:val="0"/>
          <w:numId w:val="28"/>
        </w:numPr>
        <w:tabs>
          <w:tab w:val="clear" w:pos="1768"/>
          <w:tab w:val="num" w:pos="2160"/>
        </w:tabs>
        <w:spacing w:line="400" w:lineRule="exact"/>
        <w:ind w:left="2160"/>
        <w:jc w:val="both"/>
        <w:rPr>
          <w:rFonts w:ascii="Arial" w:eastAsia="標楷體" w:cs="Arial" w:hint="eastAsia"/>
        </w:rPr>
      </w:pPr>
      <w:r w:rsidRPr="004E19A3">
        <w:rPr>
          <w:rFonts w:ascii="Arial" w:eastAsia="標楷體" w:cs="Arial" w:hint="eastAsia"/>
        </w:rPr>
        <w:t>公司應依中華民國期貨業商業同業公會所訂格式內容、方式及申報時間申報年度稽核計畫及其執行情形、所見異常事項改善情形。</w:t>
      </w:r>
    </w:p>
    <w:p w:rsidR="00BE50C5" w:rsidRPr="004E19A3" w:rsidRDefault="00BE50C5">
      <w:pPr>
        <w:numPr>
          <w:ilvl w:val="0"/>
          <w:numId w:val="28"/>
        </w:numPr>
        <w:tabs>
          <w:tab w:val="clear" w:pos="1768"/>
          <w:tab w:val="num" w:pos="2160"/>
        </w:tabs>
        <w:spacing w:line="400" w:lineRule="exact"/>
        <w:ind w:left="2160"/>
        <w:jc w:val="both"/>
        <w:rPr>
          <w:rFonts w:ascii="Arial" w:eastAsia="標楷體" w:cs="Arial" w:hint="eastAsia"/>
        </w:rPr>
      </w:pPr>
      <w:r w:rsidRPr="004E19A3">
        <w:rPr>
          <w:rFonts w:ascii="Arial" w:eastAsia="標楷體" w:cs="Arial"/>
        </w:rPr>
        <w:t>應於每會計年度終了前將次一年度之年度稽核計畫及每會計年度終了後二個月內將上一年度之年度稽核計畫執行情形依主管機關規定格式及方式申報主管機關備查；並應於每會計年度終了後五個月內，將上一年度內部稽核所見異常事項改善情形申報主管機關備查。</w:t>
      </w:r>
    </w:p>
    <w:p w:rsidR="00BE50C5" w:rsidRPr="004E19A3" w:rsidRDefault="00BE50C5">
      <w:pPr>
        <w:numPr>
          <w:ilvl w:val="0"/>
          <w:numId w:val="2"/>
        </w:numPr>
        <w:spacing w:line="400" w:lineRule="exact"/>
        <w:jc w:val="both"/>
        <w:rPr>
          <w:rFonts w:ascii="標楷體" w:eastAsia="標楷體"/>
        </w:rPr>
      </w:pPr>
      <w:r w:rsidRPr="004E19A3">
        <w:rPr>
          <w:rFonts w:ascii="標楷體" w:eastAsia="標楷體" w:hint="eastAsia"/>
        </w:rPr>
        <w:t>稽核人員應注意事項</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lastRenderedPageBreak/>
        <w:t>稽核人員應具超然獨立性，以客觀公正之立場，求真求實之精神，忠誠勤勉之態度，以客觀公正之立場，確實執行職務，</w:t>
      </w:r>
      <w:r w:rsidR="00CA0863" w:rsidRPr="004E19A3">
        <w:rPr>
          <w:rFonts w:ascii="標楷體" w:eastAsia="標楷體" w:hAnsi="新細明體" w:hint="eastAsia"/>
        </w:rPr>
        <w:t>並盡專業上應有之注意，</w:t>
      </w:r>
      <w:r w:rsidRPr="004E19A3">
        <w:rPr>
          <w:rFonts w:ascii="標楷體" w:eastAsia="標楷體" w:hint="eastAsia"/>
        </w:rPr>
        <w:t>除定期向各監察人報告稽核業務外，稽核主管並應列席董事會報告。內部稽核人員執行業務應本誠實信用原則，並不得有下列情事：</w:t>
      </w:r>
    </w:p>
    <w:p w:rsidR="00BE50C5" w:rsidRPr="004E19A3" w:rsidRDefault="00BE50C5">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ascii="Arial" w:eastAsia="標楷體" w:cs="Arial" w:hint="eastAsia"/>
        </w:rPr>
        <w:t>明知公司之營運活動、</w:t>
      </w:r>
      <w:r w:rsidR="00CA0863" w:rsidRPr="004E19A3">
        <w:rPr>
          <w:rFonts w:ascii="標楷體" w:eastAsia="標楷體" w:hAnsi="新細明體"/>
        </w:rPr>
        <w:t>報導及相關法令規章遵循情況有直接損害受益人</w:t>
      </w:r>
      <w:r w:rsidR="00CA0863" w:rsidRPr="004E19A3">
        <w:rPr>
          <w:rFonts w:ascii="標楷體" w:eastAsia="標楷體" w:hAnsi="新細明體" w:hint="eastAsia"/>
        </w:rPr>
        <w:t>、客戶或利害關係人之情事，而予以隱飾或作不實、不當之揭露</w:t>
      </w:r>
      <w:r w:rsidRPr="004E19A3">
        <w:rPr>
          <w:rFonts w:ascii="Arial" w:eastAsia="標楷體" w:cs="Arial" w:hint="eastAsia"/>
        </w:rPr>
        <w:t>。</w:t>
      </w:r>
    </w:p>
    <w:p w:rsidR="00BE50C5" w:rsidRPr="004E19A3" w:rsidRDefault="00BE50C5">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ascii="Arial" w:eastAsia="標楷體" w:cs="Arial" w:hint="eastAsia"/>
        </w:rPr>
        <w:t>因不當意圖或職務上之廢弛，致損及公司</w:t>
      </w:r>
      <w:r w:rsidR="00CA0863" w:rsidRPr="004E19A3">
        <w:rPr>
          <w:rFonts w:ascii="標楷體" w:eastAsia="標楷體" w:hAnsi="新細明體" w:hint="eastAsia"/>
        </w:rPr>
        <w:t>、受益人、客戶</w:t>
      </w:r>
      <w:r w:rsidRPr="004E19A3">
        <w:rPr>
          <w:rFonts w:ascii="Arial" w:eastAsia="標楷體" w:cs="Arial" w:hint="eastAsia"/>
        </w:rPr>
        <w:t>或利害關係人之權益等情事。</w:t>
      </w:r>
    </w:p>
    <w:p w:rsidR="00CA0863" w:rsidRPr="004E19A3" w:rsidRDefault="00CA0863">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eastAsia="標楷體" w:hAnsi="新細明體" w:hint="eastAsia"/>
        </w:rPr>
        <w:t>逾越稽核職權範圍以外之行為或有其他不正當情事，意圖為自己或第三人之利益，違背其職務之行為或侵占公司資產。</w:t>
      </w:r>
    </w:p>
    <w:p w:rsidR="00CA0863" w:rsidRPr="004E19A3" w:rsidRDefault="00CA0863">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eastAsia="標楷體" w:hAnsi="新細明體" w:hint="eastAsia"/>
        </w:rPr>
        <w:t>對於以前曾服務之部門，於一年內進行稽核作業。但主管機關另有規定者，不在此限。</w:t>
      </w:r>
    </w:p>
    <w:p w:rsidR="00CA0863" w:rsidRPr="004E19A3" w:rsidRDefault="00CA0863">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eastAsia="標楷體" w:hAnsi="新細明體" w:hint="eastAsia"/>
        </w:rPr>
        <w:t>與自身有利害關係或利益衝突案件未予迴避。</w:t>
      </w:r>
    </w:p>
    <w:p w:rsidR="00BE50C5" w:rsidRPr="004E19A3" w:rsidRDefault="00BE50C5">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ascii="Arial" w:eastAsia="標楷體" w:cs="Arial" w:hint="eastAsia"/>
        </w:rPr>
        <w:t>未配合辦理主管機關指示查核事項或提供相關資料。</w:t>
      </w:r>
    </w:p>
    <w:p w:rsidR="00CA0863" w:rsidRPr="004E19A3" w:rsidRDefault="00CA0863">
      <w:pPr>
        <w:numPr>
          <w:ilvl w:val="0"/>
          <w:numId w:val="12"/>
        </w:numPr>
        <w:tabs>
          <w:tab w:val="clear" w:pos="1768"/>
          <w:tab w:val="num" w:pos="1800"/>
        </w:tabs>
        <w:spacing w:line="400" w:lineRule="exact"/>
        <w:ind w:left="1800" w:hanging="360"/>
        <w:jc w:val="both"/>
        <w:rPr>
          <w:rFonts w:ascii="Arial" w:eastAsia="標楷體" w:cs="Arial" w:hint="eastAsia"/>
        </w:rPr>
      </w:pPr>
      <w:r w:rsidRPr="004E19A3">
        <w:rPr>
          <w:rFonts w:eastAsia="標楷體" w:hAnsi="新細明體"/>
        </w:rPr>
        <w:t>直接或間接提供、承諾、要求或收受不合理禮物、款待或其他任何形式之不正當利益</w:t>
      </w:r>
      <w:r w:rsidRPr="004E19A3">
        <w:rPr>
          <w:rFonts w:eastAsia="標楷體" w:hAnsi="新細明體" w:hint="eastAsia"/>
        </w:rPr>
        <w:t>。</w:t>
      </w:r>
    </w:p>
    <w:p w:rsidR="00BE50C5" w:rsidRPr="004E19A3" w:rsidRDefault="00BE50C5">
      <w:pPr>
        <w:numPr>
          <w:ilvl w:val="0"/>
          <w:numId w:val="12"/>
        </w:numPr>
        <w:tabs>
          <w:tab w:val="clear" w:pos="1768"/>
          <w:tab w:val="num" w:pos="1800"/>
        </w:tabs>
        <w:spacing w:line="400" w:lineRule="exact"/>
        <w:ind w:left="1800" w:hanging="360"/>
        <w:jc w:val="both"/>
        <w:rPr>
          <w:rFonts w:ascii="Arial" w:eastAsia="標楷體" w:cs="Arial"/>
        </w:rPr>
      </w:pPr>
      <w:r w:rsidRPr="004E19A3">
        <w:rPr>
          <w:rFonts w:ascii="Arial" w:eastAsia="標楷體" w:cs="Arial" w:hint="eastAsia"/>
        </w:rPr>
        <w:t>其他違反法令</w:t>
      </w:r>
      <w:r w:rsidRPr="004E19A3">
        <w:rPr>
          <w:rFonts w:ascii="標楷體" w:eastAsia="標楷體" w:hint="eastAsia"/>
        </w:rPr>
        <w:t>或經主管機關規定不得為之行為。</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rPr>
      </w:pPr>
      <w:r w:rsidRPr="004E19A3">
        <w:rPr>
          <w:rFonts w:ascii="標楷體" w:eastAsia="標楷體" w:hint="eastAsia"/>
        </w:rPr>
        <w:t>稽核人員應持續參加主管機關或專業機構舉辦或公司本身自行舉辦之內部稽核講習及各項專業課程，以提昇稽核品質及能力。</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rPr>
      </w:pPr>
      <w:r w:rsidRPr="004E19A3">
        <w:rPr>
          <w:rFonts w:ascii="標楷體" w:eastAsia="標楷體" w:hint="eastAsia"/>
        </w:rPr>
        <w:t>稽核程序按查核計畫進行，避免不必要之討論與諮詢，儘量減少影響受查單位經辦人員本身之工作，遇有不明瞭之事項，應於適當時間提出詢問，至徹底瞭解為止。</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rPr>
      </w:pPr>
      <w:r w:rsidRPr="004E19A3">
        <w:rPr>
          <w:rFonts w:ascii="標楷體" w:eastAsia="標楷體" w:hint="eastAsia"/>
        </w:rPr>
        <w:t>勿與受查單位人員爭論制度上之不完備，發現錯誤情事不得當面批評，受查單位人員如有申訴或建議，應細心聆聽，勿與辯論。</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rPr>
      </w:pPr>
      <w:r w:rsidRPr="004E19A3">
        <w:rPr>
          <w:rFonts w:ascii="標楷體" w:eastAsia="標楷體" w:hint="eastAsia"/>
        </w:rPr>
        <w:t>稽核人員應充分瞭解現行相關法令，並熟諳公司現行內部控制各種制度、規章，尚應透徹瞭解受查單位之單行辦法及特殊情況。</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rPr>
      </w:pPr>
      <w:r w:rsidRPr="004E19A3">
        <w:rPr>
          <w:rFonts w:ascii="標楷體" w:eastAsia="標楷體" w:hint="eastAsia"/>
        </w:rPr>
        <w:t>稽核人員應事前熟知受查單位之歷史背景、重要資料及以往稽核報告內容。</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rPr>
      </w:pPr>
      <w:r w:rsidRPr="004E19A3">
        <w:rPr>
          <w:rFonts w:ascii="標楷體" w:eastAsia="標楷體" w:hint="eastAsia"/>
        </w:rPr>
        <w:lastRenderedPageBreak/>
        <w:t>稽核人員應對查核結果予合理判斷，並根據可靠之理論基礎，取得足夠而適切之證明。</w:t>
      </w:r>
    </w:p>
    <w:p w:rsidR="00BE50C5" w:rsidRPr="004E19A3" w:rsidRDefault="00BE50C5">
      <w:pPr>
        <w:numPr>
          <w:ilvl w:val="0"/>
          <w:numId w:val="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稽核人員執行查核工作係接觸公司第一手機密檔案資料，應嚴格保密，並應提高警覺，注意文件安全，以防失落。</w:t>
      </w:r>
    </w:p>
    <w:p w:rsidR="00BE50C5" w:rsidRPr="004E19A3" w:rsidRDefault="00BE50C5">
      <w:pPr>
        <w:spacing w:line="400" w:lineRule="exact"/>
        <w:ind w:left="480"/>
        <w:jc w:val="both"/>
        <w:rPr>
          <w:rFonts w:ascii="標楷體" w:eastAsia="標楷體" w:hint="eastAsia"/>
        </w:rPr>
      </w:pPr>
    </w:p>
    <w:p w:rsidR="00BE50C5" w:rsidRPr="004E19A3" w:rsidRDefault="00BE50C5">
      <w:pPr>
        <w:numPr>
          <w:ilvl w:val="0"/>
          <w:numId w:val="2"/>
        </w:numPr>
        <w:spacing w:line="400" w:lineRule="exact"/>
        <w:jc w:val="both"/>
        <w:rPr>
          <w:rFonts w:ascii="標楷體" w:eastAsia="標楷體" w:hint="eastAsia"/>
        </w:rPr>
      </w:pPr>
      <w:r w:rsidRPr="004E19A3">
        <w:rPr>
          <w:rFonts w:ascii="標楷體" w:eastAsia="標楷體" w:hint="eastAsia"/>
        </w:rPr>
        <w:t>自行</w:t>
      </w:r>
      <w:r w:rsidR="00C31233" w:rsidRPr="004E19A3">
        <w:rPr>
          <w:rFonts w:ascii="標楷體" w:eastAsia="標楷體" w:hAnsi="新細明體"/>
        </w:rPr>
        <w:t>評估</w:t>
      </w:r>
      <w:r w:rsidRPr="004E19A3">
        <w:rPr>
          <w:rFonts w:ascii="標楷體" w:eastAsia="標楷體" w:hint="eastAsia"/>
        </w:rPr>
        <w:t>及內部控制制度聲明書:</w:t>
      </w:r>
    </w:p>
    <w:p w:rsidR="00BE50C5" w:rsidRPr="004E19A3" w:rsidRDefault="00BE50C5">
      <w:pPr>
        <w:numPr>
          <w:ilvl w:val="0"/>
          <w:numId w:val="1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自行</w:t>
      </w:r>
      <w:r w:rsidR="00C31233" w:rsidRPr="004E19A3">
        <w:rPr>
          <w:rFonts w:ascii="標楷體" w:eastAsia="標楷體" w:hAnsi="新細明體"/>
        </w:rPr>
        <w:t>評估</w:t>
      </w:r>
      <w:r w:rsidRPr="004E19A3">
        <w:rPr>
          <w:rFonts w:ascii="標楷體" w:eastAsia="標楷體" w:hint="eastAsia"/>
        </w:rPr>
        <w:t>內部控制制度之目的，在落實自我監督之機制、及時因應環境改變，以調整內部控制制度之設計，並提昇內部稽核部門的</w:t>
      </w:r>
      <w:r w:rsidR="00C31233" w:rsidRPr="004E19A3">
        <w:rPr>
          <w:rFonts w:ascii="標楷體" w:eastAsia="標楷體" w:hAnsi="新細明體"/>
        </w:rPr>
        <w:t>稽核</w:t>
      </w:r>
      <w:r w:rsidRPr="004E19A3">
        <w:rPr>
          <w:rFonts w:ascii="標楷體" w:eastAsia="標楷體" w:hint="eastAsia"/>
        </w:rPr>
        <w:t>品質及效率；其</w:t>
      </w:r>
      <w:r w:rsidR="00C31233" w:rsidRPr="004E19A3">
        <w:rPr>
          <w:rFonts w:ascii="標楷體" w:eastAsia="標楷體" w:hAnsi="新細明體"/>
        </w:rPr>
        <w:t>評估</w:t>
      </w:r>
      <w:r w:rsidRPr="004E19A3">
        <w:rPr>
          <w:rFonts w:ascii="標楷體" w:eastAsia="標楷體" w:hint="eastAsia"/>
        </w:rPr>
        <w:t>之範圍，應涵蓋各類內部控制制度之設計及執行。</w:t>
      </w:r>
    </w:p>
    <w:p w:rsidR="00BE50C5" w:rsidRPr="004E19A3" w:rsidRDefault="00BE50C5">
      <w:pPr>
        <w:numPr>
          <w:ilvl w:val="0"/>
          <w:numId w:val="1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執行前項</w:t>
      </w:r>
      <w:r w:rsidR="00C31233" w:rsidRPr="004E19A3">
        <w:rPr>
          <w:rFonts w:ascii="標楷體" w:eastAsia="標楷體" w:hAnsi="新細明體"/>
        </w:rPr>
        <w:t>評估</w:t>
      </w:r>
      <w:r w:rsidRPr="004E19A3">
        <w:rPr>
          <w:rFonts w:ascii="標楷體" w:eastAsia="標楷體" w:hint="eastAsia"/>
        </w:rPr>
        <w:t>，應於內部控制制度訂定自行</w:t>
      </w:r>
      <w:r w:rsidR="00C31233" w:rsidRPr="004E19A3">
        <w:rPr>
          <w:rFonts w:ascii="標楷體" w:eastAsia="標楷體" w:hAnsi="新細明體"/>
        </w:rPr>
        <w:t>評估</w:t>
      </w:r>
      <w:r w:rsidRPr="004E19A3">
        <w:rPr>
          <w:rFonts w:ascii="標楷體" w:eastAsia="標楷體" w:hint="eastAsia"/>
        </w:rPr>
        <w:t>作業之程序及方法；公司應</w:t>
      </w:r>
      <w:r w:rsidR="00C31233" w:rsidRPr="004E19A3">
        <w:rPr>
          <w:rFonts w:ascii="標楷體" w:eastAsia="標楷體" w:hAnsi="新細明體"/>
        </w:rPr>
        <w:t>注意相關法令規章遵循事項並</w:t>
      </w:r>
      <w:r w:rsidRPr="004E19A3">
        <w:rPr>
          <w:rFonts w:ascii="標楷體" w:eastAsia="標楷體" w:hint="eastAsia"/>
        </w:rPr>
        <w:t>依風險評估結果，決定前述自行</w:t>
      </w:r>
      <w:r w:rsidR="001E5334" w:rsidRPr="004E19A3">
        <w:rPr>
          <w:rFonts w:ascii="標楷體" w:eastAsia="標楷體" w:hAnsi="新細明體"/>
        </w:rPr>
        <w:t>評估</w:t>
      </w:r>
      <w:r w:rsidRPr="004E19A3">
        <w:rPr>
          <w:rFonts w:ascii="標楷體" w:eastAsia="標楷體" w:hint="eastAsia"/>
        </w:rPr>
        <w:t>作業程序及方法，並至少包含下列項目：</w:t>
      </w:r>
    </w:p>
    <w:p w:rsidR="00BE50C5" w:rsidRPr="004E19A3" w:rsidRDefault="00BE50C5">
      <w:pPr>
        <w:numPr>
          <w:ilvl w:val="0"/>
          <w:numId w:val="21"/>
        </w:numPr>
        <w:tabs>
          <w:tab w:val="clear" w:pos="1768"/>
          <w:tab w:val="num" w:pos="1980"/>
        </w:tabs>
        <w:spacing w:line="400" w:lineRule="exact"/>
        <w:ind w:left="1980"/>
        <w:jc w:val="both"/>
        <w:rPr>
          <w:rFonts w:ascii="Arial" w:eastAsia="標楷體" w:cs="Arial" w:hint="eastAsia"/>
        </w:rPr>
      </w:pPr>
      <w:r w:rsidRPr="004E19A3">
        <w:rPr>
          <w:rFonts w:ascii="Arial" w:eastAsia="標楷體" w:cs="Arial" w:hint="eastAsia"/>
        </w:rPr>
        <w:t>確定應進行測試之控制作業。</w:t>
      </w:r>
    </w:p>
    <w:p w:rsidR="00BE50C5" w:rsidRPr="004E19A3" w:rsidRDefault="00BE50C5">
      <w:pPr>
        <w:numPr>
          <w:ilvl w:val="0"/>
          <w:numId w:val="21"/>
        </w:numPr>
        <w:tabs>
          <w:tab w:val="clear" w:pos="1768"/>
          <w:tab w:val="num" w:pos="1980"/>
        </w:tabs>
        <w:spacing w:line="400" w:lineRule="exact"/>
        <w:ind w:left="1980"/>
        <w:jc w:val="both"/>
        <w:rPr>
          <w:rFonts w:ascii="Arial" w:eastAsia="標楷體" w:cs="Arial" w:hint="eastAsia"/>
        </w:rPr>
      </w:pPr>
      <w:r w:rsidRPr="004E19A3">
        <w:rPr>
          <w:rFonts w:ascii="Arial" w:eastAsia="標楷體" w:cs="Arial" w:hint="eastAsia"/>
        </w:rPr>
        <w:t>確認應納入自行</w:t>
      </w:r>
      <w:r w:rsidR="001E5334" w:rsidRPr="004E19A3">
        <w:rPr>
          <w:rFonts w:ascii="標楷體" w:eastAsia="標楷體" w:hAnsi="新細明體"/>
        </w:rPr>
        <w:t>評估</w:t>
      </w:r>
      <w:r w:rsidRPr="004E19A3">
        <w:rPr>
          <w:rFonts w:ascii="Arial" w:eastAsia="標楷體" w:cs="Arial" w:hint="eastAsia"/>
        </w:rPr>
        <w:t>之營運單位。</w:t>
      </w:r>
    </w:p>
    <w:p w:rsidR="00BE50C5" w:rsidRPr="004E19A3" w:rsidRDefault="00BE50C5">
      <w:pPr>
        <w:numPr>
          <w:ilvl w:val="0"/>
          <w:numId w:val="21"/>
        </w:numPr>
        <w:tabs>
          <w:tab w:val="clear" w:pos="1768"/>
          <w:tab w:val="num" w:pos="1980"/>
        </w:tabs>
        <w:spacing w:line="400" w:lineRule="exact"/>
        <w:ind w:left="1980"/>
        <w:jc w:val="both"/>
        <w:rPr>
          <w:rFonts w:ascii="Arial" w:eastAsia="標楷體" w:cs="Arial" w:hint="eastAsia"/>
        </w:rPr>
      </w:pPr>
      <w:r w:rsidRPr="004E19A3">
        <w:rPr>
          <w:rFonts w:ascii="Arial" w:eastAsia="標楷體" w:cs="Arial" w:hint="eastAsia"/>
        </w:rPr>
        <w:t>評估各項控制作業設計之有效性。</w:t>
      </w:r>
    </w:p>
    <w:p w:rsidR="00BE50C5" w:rsidRPr="004E19A3" w:rsidRDefault="00BE50C5">
      <w:pPr>
        <w:numPr>
          <w:ilvl w:val="0"/>
          <w:numId w:val="21"/>
        </w:numPr>
        <w:tabs>
          <w:tab w:val="clear" w:pos="1768"/>
          <w:tab w:val="num" w:pos="1980"/>
        </w:tabs>
        <w:spacing w:line="400" w:lineRule="exact"/>
        <w:ind w:left="1980"/>
        <w:jc w:val="both"/>
        <w:rPr>
          <w:rFonts w:ascii="Arial" w:eastAsia="標楷體" w:cs="Arial"/>
        </w:rPr>
      </w:pPr>
      <w:r w:rsidRPr="004E19A3">
        <w:rPr>
          <w:rFonts w:ascii="Arial" w:eastAsia="標楷體" w:cs="Arial" w:hint="eastAsia"/>
        </w:rPr>
        <w:t>評估各項控制作業執行之有效性。</w:t>
      </w:r>
    </w:p>
    <w:p w:rsidR="00BE50C5" w:rsidRPr="004E19A3" w:rsidRDefault="00BE50C5">
      <w:pPr>
        <w:numPr>
          <w:ilvl w:val="0"/>
          <w:numId w:val="1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自行</w:t>
      </w:r>
      <w:r w:rsidR="001E5334" w:rsidRPr="004E19A3">
        <w:rPr>
          <w:rFonts w:ascii="標楷體" w:eastAsia="標楷體" w:hAnsi="新細明體"/>
        </w:rPr>
        <w:t>評估</w:t>
      </w:r>
      <w:r w:rsidRPr="004E19A3">
        <w:rPr>
          <w:rFonts w:ascii="標楷體" w:eastAsia="標楷體" w:hint="eastAsia"/>
        </w:rPr>
        <w:t>內部控制制度，應先督促內部各單位及子公司每年至少辦理自行</w:t>
      </w:r>
      <w:r w:rsidR="001E5334" w:rsidRPr="004E19A3">
        <w:rPr>
          <w:rFonts w:ascii="標楷體" w:eastAsia="標楷體" w:hAnsi="新細明體"/>
        </w:rPr>
        <w:t>評估</w:t>
      </w:r>
      <w:r w:rsidRPr="004E19A3">
        <w:rPr>
          <w:rFonts w:ascii="標楷體" w:eastAsia="標楷體" w:hint="eastAsia"/>
        </w:rPr>
        <w:t>一次，再由內部稽核單位覆核各單位之自行</w:t>
      </w:r>
      <w:r w:rsidR="001E5334" w:rsidRPr="004E19A3">
        <w:rPr>
          <w:rFonts w:ascii="標楷體" w:eastAsia="標楷體" w:hAnsi="新細明體"/>
        </w:rPr>
        <w:t>評估</w:t>
      </w:r>
      <w:r w:rsidRPr="004E19A3">
        <w:rPr>
          <w:rFonts w:ascii="標楷體" w:eastAsia="標楷體" w:hint="eastAsia"/>
        </w:rPr>
        <w:t>報告，併同稽核單位所發現之內部控制缺失及異常事項改善情形，以作為董事會及總經理評估公司整體內部控制制度有效性及出具內部控制制度聲明書之主要依據。</w:t>
      </w:r>
    </w:p>
    <w:p w:rsidR="00BE50C5" w:rsidRPr="004E19A3" w:rsidRDefault="00BE50C5">
      <w:pPr>
        <w:numPr>
          <w:ilvl w:val="0"/>
          <w:numId w:val="1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hint="eastAsia"/>
        </w:rPr>
        <w:t>前項自行</w:t>
      </w:r>
      <w:r w:rsidR="001E5334" w:rsidRPr="004E19A3">
        <w:rPr>
          <w:rFonts w:ascii="標楷體" w:eastAsia="標楷體" w:hAnsi="新細明體"/>
        </w:rPr>
        <w:t>評估</w:t>
      </w:r>
      <w:r w:rsidRPr="004E19A3">
        <w:rPr>
          <w:rFonts w:ascii="標楷體" w:eastAsia="標楷體" w:hint="eastAsia"/>
        </w:rPr>
        <w:t>應作成工作底稿，併同自行</w:t>
      </w:r>
      <w:r w:rsidR="001E5334" w:rsidRPr="004E19A3">
        <w:rPr>
          <w:rFonts w:ascii="標楷體" w:eastAsia="標楷體" w:hAnsi="新細明體"/>
        </w:rPr>
        <w:t>評估</w:t>
      </w:r>
      <w:r w:rsidRPr="004E19A3">
        <w:rPr>
          <w:rFonts w:ascii="標楷體" w:eastAsia="標楷體" w:hint="eastAsia"/>
        </w:rPr>
        <w:t>報告及相關資料至少保存</w:t>
      </w:r>
      <w:r w:rsidR="00E10C18" w:rsidRPr="004E19A3">
        <w:rPr>
          <w:rFonts w:ascii="標楷體" w:eastAsia="標楷體" w:hAnsi="新細明體" w:hint="eastAsia"/>
        </w:rPr>
        <w:t>五</w:t>
      </w:r>
      <w:r w:rsidRPr="004E19A3">
        <w:rPr>
          <w:rFonts w:ascii="標楷體" w:eastAsia="標楷體" w:hint="eastAsia"/>
        </w:rPr>
        <w:t>年。</w:t>
      </w:r>
    </w:p>
    <w:p w:rsidR="00BE50C5" w:rsidRPr="004E19A3" w:rsidRDefault="00BE50C5">
      <w:pPr>
        <w:numPr>
          <w:ilvl w:val="0"/>
          <w:numId w:val="18"/>
        </w:numPr>
        <w:tabs>
          <w:tab w:val="clear" w:pos="1335"/>
          <w:tab w:val="num" w:pos="1440"/>
        </w:tabs>
        <w:spacing w:line="400" w:lineRule="exact"/>
        <w:ind w:left="1440" w:hanging="720"/>
        <w:jc w:val="both"/>
        <w:rPr>
          <w:rFonts w:ascii="標楷體" w:eastAsia="標楷體" w:hint="eastAsia"/>
        </w:rPr>
      </w:pPr>
      <w:r w:rsidRPr="004E19A3">
        <w:rPr>
          <w:rFonts w:ascii="標楷體" w:eastAsia="標楷體"/>
        </w:rPr>
        <w:t>每年應自行</w:t>
      </w:r>
      <w:r w:rsidR="001E5334" w:rsidRPr="004E19A3">
        <w:rPr>
          <w:rFonts w:ascii="標楷體" w:eastAsia="標楷體" w:hAnsi="新細明體"/>
        </w:rPr>
        <w:t>評估</w:t>
      </w:r>
      <w:r w:rsidRPr="004E19A3">
        <w:rPr>
          <w:rFonts w:ascii="標楷體" w:eastAsia="標楷體"/>
        </w:rPr>
        <w:t>內部</w:t>
      </w:r>
      <w:r w:rsidRPr="004E19A3">
        <w:rPr>
          <w:rFonts w:ascii="標楷體" w:eastAsia="標楷體" w:hint="eastAsia"/>
        </w:rPr>
        <w:t>控制制度設計及執行之有效性</w:t>
      </w:r>
      <w:r w:rsidRPr="004E19A3">
        <w:rPr>
          <w:rFonts w:ascii="標楷體" w:eastAsia="標楷體"/>
        </w:rPr>
        <w:t>，並</w:t>
      </w:r>
      <w:r w:rsidRPr="004E19A3">
        <w:rPr>
          <w:rFonts w:ascii="標楷體" w:eastAsia="標楷體" w:hint="eastAsia"/>
        </w:rPr>
        <w:t>依主管機關規定格式</w:t>
      </w:r>
      <w:r w:rsidRPr="004E19A3">
        <w:rPr>
          <w:rFonts w:ascii="標楷體" w:eastAsia="標楷體"/>
        </w:rPr>
        <w:t>作成內部控制</w:t>
      </w:r>
      <w:r w:rsidRPr="004E19A3">
        <w:rPr>
          <w:rFonts w:ascii="標楷體" w:eastAsia="標楷體" w:hint="eastAsia"/>
        </w:rPr>
        <w:t>制度</w:t>
      </w:r>
      <w:r w:rsidRPr="004E19A3">
        <w:rPr>
          <w:rFonts w:ascii="標楷體" w:eastAsia="標楷體"/>
        </w:rPr>
        <w:t>聲明書</w:t>
      </w:r>
      <w:r w:rsidR="00261EFC" w:rsidRPr="004E19A3">
        <w:rPr>
          <w:rFonts w:ascii="標楷體" w:eastAsia="標楷體" w:hAnsi="標楷體" w:cs="標楷體"/>
          <w:szCs w:val="24"/>
        </w:rPr>
        <w:t>於</w:t>
      </w:r>
      <w:r w:rsidR="00261EFC" w:rsidRPr="004E19A3">
        <w:rPr>
          <w:rFonts w:ascii="標楷體" w:eastAsia="標楷體" w:hAnsi="標楷體" w:cs="標楷體" w:hint="eastAsia"/>
          <w:szCs w:val="24"/>
        </w:rPr>
        <w:t>每會計年度終了後</w:t>
      </w:r>
      <w:r w:rsidR="00261EFC" w:rsidRPr="004E19A3">
        <w:rPr>
          <w:rFonts w:ascii="標楷體" w:eastAsia="標楷體" w:hAnsi="標楷體" w:cs="標楷體"/>
          <w:szCs w:val="24"/>
        </w:rPr>
        <w:t>四</w:t>
      </w:r>
      <w:r w:rsidR="00261EFC" w:rsidRPr="004E19A3">
        <w:rPr>
          <w:rFonts w:ascii="標楷體" w:eastAsia="標楷體" w:hAnsi="標楷體" w:cs="標楷體" w:hint="eastAsia"/>
          <w:szCs w:val="24"/>
        </w:rPr>
        <w:t>個</w:t>
      </w:r>
      <w:r w:rsidR="00261EFC" w:rsidRPr="004E19A3">
        <w:rPr>
          <w:rFonts w:ascii="標楷體" w:eastAsia="標楷體" w:hAnsi="標楷體" w:cs="標楷體"/>
          <w:szCs w:val="24"/>
        </w:rPr>
        <w:t>月</w:t>
      </w:r>
      <w:r w:rsidR="00261EFC" w:rsidRPr="004E19A3">
        <w:rPr>
          <w:rFonts w:ascii="標楷體" w:eastAsia="標楷體" w:hAnsi="標楷體" w:cs="標楷體" w:hint="eastAsia"/>
          <w:szCs w:val="24"/>
        </w:rPr>
        <w:t>內申</w:t>
      </w:r>
      <w:r w:rsidR="00261EFC" w:rsidRPr="004E19A3">
        <w:rPr>
          <w:rFonts w:ascii="標楷體" w:eastAsia="標楷體" w:hAnsi="標楷體" w:cs="標楷體"/>
          <w:szCs w:val="24"/>
        </w:rPr>
        <w:t>報</w:t>
      </w:r>
      <w:r w:rsidR="00261EFC" w:rsidRPr="004E19A3">
        <w:rPr>
          <w:rFonts w:ascii="標楷體" w:eastAsia="標楷體" w:hAnsi="標楷體" w:cs="標楷體" w:hint="eastAsia"/>
          <w:szCs w:val="24"/>
        </w:rPr>
        <w:t>主管機關</w:t>
      </w:r>
      <w:r w:rsidR="00261EFC" w:rsidRPr="004E19A3">
        <w:rPr>
          <w:rFonts w:ascii="標楷體" w:eastAsia="標楷體" w:hAnsi="標楷體" w:cs="標楷體"/>
          <w:szCs w:val="24"/>
        </w:rPr>
        <w:t>備查</w:t>
      </w:r>
      <w:r w:rsidRPr="004E19A3">
        <w:rPr>
          <w:rFonts w:ascii="標楷體" w:eastAsia="標楷體"/>
        </w:rPr>
        <w:t>。內部控制制度聲明書應先經董事會通過</w:t>
      </w:r>
      <w:r w:rsidRPr="004E19A3">
        <w:rPr>
          <w:rFonts w:ascii="標楷體" w:eastAsia="標楷體" w:hint="eastAsia"/>
        </w:rPr>
        <w:t>；修正時，</w:t>
      </w:r>
      <w:r w:rsidRPr="004E19A3">
        <w:rPr>
          <w:rFonts w:ascii="標楷體" w:eastAsia="標楷體"/>
        </w:rPr>
        <w:t>亦同。</w:t>
      </w:r>
    </w:p>
    <w:p w:rsidR="00BE50C5" w:rsidRDefault="00BE50C5">
      <w:pPr>
        <w:numPr>
          <w:ilvl w:val="0"/>
          <w:numId w:val="18"/>
        </w:numPr>
        <w:tabs>
          <w:tab w:val="clear" w:pos="1335"/>
          <w:tab w:val="num" w:pos="1440"/>
        </w:tabs>
        <w:spacing w:line="400" w:lineRule="exact"/>
        <w:ind w:left="1440" w:hanging="720"/>
        <w:jc w:val="both"/>
        <w:rPr>
          <w:rFonts w:ascii="標楷體" w:eastAsia="標楷體" w:hint="eastAsia"/>
        </w:rPr>
      </w:pPr>
      <w:r>
        <w:rPr>
          <w:rFonts w:ascii="標楷體" w:eastAsia="標楷體" w:hint="eastAsia"/>
        </w:rPr>
        <w:t>公司已依證券交易法規定設置審計委員會者，前開內部控制制度設計及執行之有效性，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p>
    <w:p w:rsidR="00BE50C5" w:rsidRDefault="00BE50C5" w:rsidP="00E10C18">
      <w:pPr>
        <w:numPr>
          <w:ilvl w:val="0"/>
          <w:numId w:val="18"/>
        </w:numPr>
        <w:tabs>
          <w:tab w:val="clear" w:pos="1335"/>
          <w:tab w:val="num" w:pos="1440"/>
        </w:tabs>
        <w:spacing w:line="400" w:lineRule="exact"/>
        <w:ind w:left="1440" w:hanging="720"/>
        <w:jc w:val="both"/>
        <w:rPr>
          <w:rFonts w:ascii="標楷體" w:eastAsia="標楷體" w:hint="eastAsia"/>
        </w:rPr>
      </w:pPr>
      <w:r>
        <w:rPr>
          <w:rFonts w:ascii="標楷體" w:eastAsia="標楷體"/>
        </w:rPr>
        <w:t>前項內部控制</w:t>
      </w:r>
      <w:r>
        <w:rPr>
          <w:rFonts w:ascii="標楷體" w:eastAsia="標楷體" w:hint="eastAsia"/>
        </w:rPr>
        <w:t>制度</w:t>
      </w:r>
      <w:r>
        <w:rPr>
          <w:rFonts w:ascii="標楷體" w:eastAsia="標楷體"/>
        </w:rPr>
        <w:t>聲明書，應依規定刊登於年報</w:t>
      </w:r>
      <w:r w:rsidR="00E10C18" w:rsidRPr="00E10C18">
        <w:rPr>
          <w:rFonts w:ascii="標楷體" w:eastAsia="標楷體" w:hAnsi="新細明體" w:hint="eastAsia"/>
        </w:rPr>
        <w:t>及公開說明書</w:t>
      </w:r>
      <w:r>
        <w:rPr>
          <w:rFonts w:ascii="標楷體" w:eastAsia="標楷體"/>
        </w:rPr>
        <w:t>。</w:t>
      </w:r>
    </w:p>
    <w:sectPr w:rsidR="00BE50C5">
      <w:headerReference w:type="default" r:id="rId8"/>
      <w:footerReference w:type="even" r:id="rId9"/>
      <w:footerReference w:type="default" r:id="rId10"/>
      <w:pgSz w:w="16840" w:h="11907" w:orient="landscape" w:code="9"/>
      <w:pgMar w:top="1418" w:right="1701" w:bottom="1418" w:left="1701" w:header="851" w:footer="680" w:gutter="0"/>
      <w:pgNumType w:start="1"/>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D60" w:rsidRDefault="00036D60">
      <w:r>
        <w:separator/>
      </w:r>
    </w:p>
  </w:endnote>
  <w:endnote w:type="continuationSeparator" w:id="0">
    <w:p w:rsidR="00036D60" w:rsidRDefault="0003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0C5" w:rsidRDefault="00BE50C5">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7</w:t>
    </w:r>
    <w:r>
      <w:rPr>
        <w:rStyle w:val="a6"/>
      </w:rPr>
      <w:fldChar w:fldCharType="end"/>
    </w:r>
  </w:p>
  <w:p w:rsidR="00BE50C5" w:rsidRDefault="00BE50C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0C5" w:rsidRDefault="0037738D">
    <w:pPr>
      <w:pStyle w:val="a5"/>
      <w:framePr w:w="457" w:wrap="around" w:vAnchor="text" w:hAnchor="margin" w:xAlign="center" w:y="5"/>
      <w:jc w:val="center"/>
      <w:rPr>
        <w:rStyle w:val="a6"/>
        <w:rFonts w:ascii="Arial" w:hAnsi="Arial" w:cs="Arial"/>
      </w:rPr>
    </w:pPr>
    <w:r>
      <w:rPr>
        <w:rStyle w:val="a6"/>
        <w:rFonts w:ascii="Arial" w:hAnsi="Arial" w:cs="Arial" w:hint="eastAsia"/>
      </w:rPr>
      <w:t>0-</w:t>
    </w:r>
    <w:r w:rsidR="00BE50C5">
      <w:rPr>
        <w:rStyle w:val="a6"/>
        <w:rFonts w:ascii="Arial" w:hAnsi="Arial" w:cs="Arial"/>
      </w:rPr>
      <w:fldChar w:fldCharType="begin"/>
    </w:r>
    <w:r w:rsidR="00BE50C5">
      <w:rPr>
        <w:rStyle w:val="a6"/>
        <w:rFonts w:ascii="Arial" w:hAnsi="Arial" w:cs="Arial"/>
      </w:rPr>
      <w:instrText xml:space="preserve">PAGE  </w:instrText>
    </w:r>
    <w:r w:rsidR="00BE50C5">
      <w:rPr>
        <w:rStyle w:val="a6"/>
        <w:rFonts w:ascii="Arial" w:hAnsi="Arial" w:cs="Arial"/>
      </w:rPr>
      <w:fldChar w:fldCharType="separate"/>
    </w:r>
    <w:r w:rsidR="001E2F9B">
      <w:rPr>
        <w:rStyle w:val="a6"/>
        <w:rFonts w:ascii="Arial" w:hAnsi="Arial" w:cs="Arial"/>
        <w:noProof/>
      </w:rPr>
      <w:t>1</w:t>
    </w:r>
    <w:r w:rsidR="00BE50C5">
      <w:rPr>
        <w:rStyle w:val="a6"/>
        <w:rFonts w:ascii="Arial" w:hAnsi="Arial" w:cs="Arial"/>
      </w:rPr>
      <w:fldChar w:fldCharType="end"/>
    </w:r>
  </w:p>
  <w:p w:rsidR="00567794" w:rsidRPr="00E50D98" w:rsidRDefault="00AA6F8E" w:rsidP="00E50D98">
    <w:pPr>
      <w:pStyle w:val="a5"/>
      <w:tabs>
        <w:tab w:val="clear" w:pos="4153"/>
      </w:tabs>
      <w:jc w:val="both"/>
      <w:rPr>
        <w:rFonts w:ascii="標楷體" w:eastAsia="標楷體" w:hAnsi="標楷體" w:cs="Arial"/>
        <w:sz w:val="18"/>
      </w:rPr>
    </w:pPr>
    <w:r>
      <w:rPr>
        <w:rFonts w:ascii="Arial" w:eastAsia="標楷體" w:hAnsi="Arial" w:cs="Arial" w:hint="eastAsia"/>
        <w:sz w:val="18"/>
      </w:rPr>
      <w:t>10</w:t>
    </w:r>
    <w:r w:rsidR="00E50D98">
      <w:rPr>
        <w:rFonts w:ascii="Arial" w:eastAsia="標楷體" w:hAnsi="Arial" w:cs="Arial" w:hint="eastAsia"/>
        <w:sz w:val="18"/>
      </w:rPr>
      <w:t>7</w:t>
    </w:r>
    <w:r w:rsidR="00BE50C5">
      <w:rPr>
        <w:rFonts w:ascii="Arial" w:eastAsia="標楷體" w:cs="Arial"/>
        <w:sz w:val="18"/>
      </w:rPr>
      <w:t>年</w:t>
    </w:r>
    <w:r w:rsidR="00D432CD">
      <w:rPr>
        <w:rFonts w:ascii="Arial" w:eastAsia="標楷體" w:cs="Arial" w:hint="eastAsia"/>
        <w:sz w:val="18"/>
      </w:rPr>
      <w:t>1</w:t>
    </w:r>
    <w:r w:rsidR="00DA1A58">
      <w:rPr>
        <w:rFonts w:ascii="Arial" w:eastAsia="標楷體" w:cs="Arial" w:hint="eastAsia"/>
        <w:sz w:val="18"/>
      </w:rPr>
      <w:t>2</w:t>
    </w:r>
    <w:r w:rsidR="00BE50C5">
      <w:rPr>
        <w:rFonts w:ascii="Arial" w:eastAsia="標楷體" w:cs="Arial"/>
        <w:sz w:val="18"/>
      </w:rPr>
      <w:t>月</w:t>
    </w:r>
    <w:r w:rsidR="00BE50C5">
      <w:rPr>
        <w:rFonts w:ascii="Arial" w:eastAsia="標楷體" w:cs="Arial" w:hint="eastAsia"/>
        <w:sz w:val="18"/>
      </w:rPr>
      <w:t>修</w:t>
    </w:r>
    <w:r w:rsidR="00BB03A7">
      <w:rPr>
        <w:rFonts w:ascii="Arial" w:eastAsia="標楷體" w:cs="Arial" w:hint="eastAsia"/>
        <w:sz w:val="18"/>
      </w:rPr>
      <w:t>正</w:t>
    </w:r>
    <w:r w:rsidR="00BE50C5">
      <w:rPr>
        <w:rFonts w:ascii="Arial" w:eastAsia="標楷體" w:hAnsi="Arial" w:cs="Arial"/>
        <w:sz w:val="18"/>
      </w:rPr>
      <w:t xml:space="preserve"> </w:t>
    </w:r>
    <w:r w:rsidR="00567794">
      <w:rPr>
        <w:rFonts w:ascii="Arial" w:eastAsia="標楷體" w:hAnsi="Arial" w:cs="Arial" w:hint="eastAsia"/>
        <w:sz w:val="18"/>
      </w:rPr>
      <w:t xml:space="preserve">                                                                                       </w:t>
    </w:r>
    <w:r w:rsidR="00567794" w:rsidRPr="00567794">
      <w:rPr>
        <w:rFonts w:ascii="標楷體" w:eastAsia="標楷體" w:hAnsi="標楷體" w:cs="Arial" w:hint="eastAsia"/>
        <w:sz w:val="18"/>
      </w:rPr>
      <w:t xml:space="preserve">             </w:t>
    </w:r>
    <w:r w:rsidR="00567794">
      <w:rPr>
        <w:rFonts w:ascii="標楷體" w:eastAsia="標楷體" w:hAnsi="標楷體" w:cs="Arial" w:hint="eastAsia"/>
        <w:sz w:val="18"/>
      </w:rPr>
      <w:t xml:space="preserve">   </w:t>
    </w:r>
    <w:r w:rsidR="00341962">
      <w:rPr>
        <w:rFonts w:ascii="標楷體" w:eastAsia="標楷體" w:hAnsi="標楷體" w:cs="Arial" w:hint="eastAsia"/>
        <w:sz w:val="18"/>
      </w:rPr>
      <w:t xml:space="preserve">   </w:t>
    </w:r>
    <w:r w:rsidR="00567794" w:rsidRPr="00341962">
      <w:rPr>
        <w:rFonts w:ascii="標楷體" w:eastAsia="標楷體" w:hAnsi="標楷體" w:hint="eastAsia"/>
        <w:sz w:val="18"/>
        <w:szCs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D60" w:rsidRDefault="00036D60">
      <w:r>
        <w:separator/>
      </w:r>
    </w:p>
  </w:footnote>
  <w:footnote w:type="continuationSeparator" w:id="0">
    <w:p w:rsidR="00036D60" w:rsidRDefault="00036D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0C5" w:rsidRDefault="00BE50C5">
    <w:pPr>
      <w:pStyle w:val="a7"/>
      <w:rPr>
        <w:rFonts w:eastAsia="標楷體" w:hint="eastAsia"/>
      </w:rPr>
    </w:pPr>
    <w:r>
      <w:rPr>
        <w:rFonts w:eastAsia="標楷體" w:hint="eastAsia"/>
      </w:rPr>
      <w:t>期貨信託事業內部稽核</w:t>
    </w:r>
    <w:r w:rsidR="007B7619">
      <w:rPr>
        <w:rFonts w:eastAsia="標楷體" w:hint="eastAsia"/>
      </w:rPr>
      <w:t>實施細則</w:t>
    </w:r>
  </w:p>
  <w:p w:rsidR="00BE50C5" w:rsidRDefault="00BE50C5">
    <w:pPr>
      <w:pStyle w:val="a7"/>
      <w:rPr>
        <w:rFonts w:eastAsia="標楷體" w:hint="eastAsia"/>
      </w:rPr>
    </w:pPr>
    <w:r>
      <w:rPr>
        <w:rFonts w:eastAsia="標楷體" w:hint="eastAsia"/>
      </w:rPr>
      <w:t>總則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000F"/>
    <w:multiLevelType w:val="hybridMultilevel"/>
    <w:tmpl w:val="CDC8F6FC"/>
    <w:lvl w:ilvl="0" w:tplc="C1321E10">
      <w:start w:val="1"/>
      <w:numFmt w:val="taiwaneseCountingThousand"/>
      <w:lvlText w:val="（%1）"/>
      <w:lvlJc w:val="left"/>
      <w:pPr>
        <w:tabs>
          <w:tab w:val="num" w:pos="1335"/>
        </w:tabs>
        <w:ind w:left="133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8AF1EB6"/>
    <w:multiLevelType w:val="multilevel"/>
    <w:tmpl w:val="0FD47770"/>
    <w:lvl w:ilvl="0">
      <w:start w:val="1"/>
      <w:numFmt w:val="taiwaneseCountingThousand"/>
      <w:lvlText w:val="（%1）"/>
      <w:lvlJc w:val="left"/>
      <w:pPr>
        <w:tabs>
          <w:tab w:val="num" w:pos="1335"/>
        </w:tabs>
        <w:ind w:left="1335" w:hanging="85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18FD5953"/>
    <w:multiLevelType w:val="singleLevel"/>
    <w:tmpl w:val="51BC2DAC"/>
    <w:lvl w:ilvl="0">
      <w:start w:val="1"/>
      <w:numFmt w:val="taiwaneseCountingThousand"/>
      <w:lvlText w:val="(%1)"/>
      <w:lvlJc w:val="left"/>
      <w:pPr>
        <w:tabs>
          <w:tab w:val="num" w:pos="1065"/>
        </w:tabs>
        <w:ind w:left="1065" w:hanging="465"/>
      </w:pPr>
      <w:rPr>
        <w:rFonts w:hint="eastAsia"/>
      </w:rPr>
    </w:lvl>
  </w:abstractNum>
  <w:abstractNum w:abstractNumId="3">
    <w:nsid w:val="1DE338F9"/>
    <w:multiLevelType w:val="multilevel"/>
    <w:tmpl w:val="FC1A101A"/>
    <w:lvl w:ilvl="0">
      <w:start w:val="1"/>
      <w:numFmt w:val="taiwaneseCountingThousand"/>
      <w:lvlText w:val="（%1）"/>
      <w:lvlJc w:val="left"/>
      <w:pPr>
        <w:tabs>
          <w:tab w:val="num" w:pos="1335"/>
        </w:tabs>
        <w:ind w:left="1335" w:hanging="85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DE45853"/>
    <w:multiLevelType w:val="multilevel"/>
    <w:tmpl w:val="FC1A101A"/>
    <w:lvl w:ilvl="0">
      <w:start w:val="1"/>
      <w:numFmt w:val="taiwaneseCountingThousand"/>
      <w:lvlText w:val="（%1）"/>
      <w:lvlJc w:val="left"/>
      <w:pPr>
        <w:tabs>
          <w:tab w:val="num" w:pos="1335"/>
        </w:tabs>
        <w:ind w:left="1335" w:hanging="85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21CC51A8"/>
    <w:multiLevelType w:val="hybridMultilevel"/>
    <w:tmpl w:val="A10E0C94"/>
    <w:lvl w:ilvl="0" w:tplc="C1321E10">
      <w:start w:val="1"/>
      <w:numFmt w:val="taiwaneseCountingThousand"/>
      <w:lvlText w:val="（%1）"/>
      <w:lvlJc w:val="left"/>
      <w:pPr>
        <w:tabs>
          <w:tab w:val="num" w:pos="1335"/>
        </w:tabs>
        <w:ind w:left="133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3E53170"/>
    <w:multiLevelType w:val="hybridMultilevel"/>
    <w:tmpl w:val="9FA06BE0"/>
    <w:lvl w:ilvl="0" w:tplc="C1321E10">
      <w:start w:val="1"/>
      <w:numFmt w:val="taiwaneseCountingThousand"/>
      <w:lvlText w:val="（%1）"/>
      <w:lvlJc w:val="left"/>
      <w:pPr>
        <w:tabs>
          <w:tab w:val="num" w:pos="1335"/>
        </w:tabs>
        <w:ind w:left="133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8876A81"/>
    <w:multiLevelType w:val="hybridMultilevel"/>
    <w:tmpl w:val="3746D436"/>
    <w:lvl w:ilvl="0" w:tplc="0409000F">
      <w:start w:val="1"/>
      <w:numFmt w:val="decimal"/>
      <w:lvlText w:val="%1."/>
      <w:lvlJc w:val="left"/>
      <w:pPr>
        <w:tabs>
          <w:tab w:val="num" w:pos="1768"/>
        </w:tabs>
        <w:ind w:left="1768" w:hanging="480"/>
      </w:pPr>
    </w:lvl>
    <w:lvl w:ilvl="1" w:tplc="04090019" w:tentative="1">
      <w:start w:val="1"/>
      <w:numFmt w:val="ideographTraditional"/>
      <w:lvlText w:val="%2、"/>
      <w:lvlJc w:val="left"/>
      <w:pPr>
        <w:tabs>
          <w:tab w:val="num" w:pos="2248"/>
        </w:tabs>
        <w:ind w:left="2248" w:hanging="480"/>
      </w:pPr>
    </w:lvl>
    <w:lvl w:ilvl="2" w:tplc="0409001B" w:tentative="1">
      <w:start w:val="1"/>
      <w:numFmt w:val="lowerRoman"/>
      <w:lvlText w:val="%3."/>
      <w:lvlJc w:val="right"/>
      <w:pPr>
        <w:tabs>
          <w:tab w:val="num" w:pos="2728"/>
        </w:tabs>
        <w:ind w:left="2728" w:hanging="480"/>
      </w:pPr>
    </w:lvl>
    <w:lvl w:ilvl="3" w:tplc="0409000F" w:tentative="1">
      <w:start w:val="1"/>
      <w:numFmt w:val="decimal"/>
      <w:lvlText w:val="%4."/>
      <w:lvlJc w:val="left"/>
      <w:pPr>
        <w:tabs>
          <w:tab w:val="num" w:pos="3208"/>
        </w:tabs>
        <w:ind w:left="3208" w:hanging="480"/>
      </w:pPr>
    </w:lvl>
    <w:lvl w:ilvl="4" w:tplc="04090019" w:tentative="1">
      <w:start w:val="1"/>
      <w:numFmt w:val="ideographTraditional"/>
      <w:lvlText w:val="%5、"/>
      <w:lvlJc w:val="left"/>
      <w:pPr>
        <w:tabs>
          <w:tab w:val="num" w:pos="3688"/>
        </w:tabs>
        <w:ind w:left="3688" w:hanging="480"/>
      </w:pPr>
    </w:lvl>
    <w:lvl w:ilvl="5" w:tplc="0409001B" w:tentative="1">
      <w:start w:val="1"/>
      <w:numFmt w:val="lowerRoman"/>
      <w:lvlText w:val="%6."/>
      <w:lvlJc w:val="right"/>
      <w:pPr>
        <w:tabs>
          <w:tab w:val="num" w:pos="4168"/>
        </w:tabs>
        <w:ind w:left="4168" w:hanging="480"/>
      </w:pPr>
    </w:lvl>
    <w:lvl w:ilvl="6" w:tplc="0409000F" w:tentative="1">
      <w:start w:val="1"/>
      <w:numFmt w:val="decimal"/>
      <w:lvlText w:val="%7."/>
      <w:lvlJc w:val="left"/>
      <w:pPr>
        <w:tabs>
          <w:tab w:val="num" w:pos="4648"/>
        </w:tabs>
        <w:ind w:left="4648" w:hanging="480"/>
      </w:pPr>
    </w:lvl>
    <w:lvl w:ilvl="7" w:tplc="04090019" w:tentative="1">
      <w:start w:val="1"/>
      <w:numFmt w:val="ideographTraditional"/>
      <w:lvlText w:val="%8、"/>
      <w:lvlJc w:val="left"/>
      <w:pPr>
        <w:tabs>
          <w:tab w:val="num" w:pos="5128"/>
        </w:tabs>
        <w:ind w:left="5128" w:hanging="480"/>
      </w:pPr>
    </w:lvl>
    <w:lvl w:ilvl="8" w:tplc="0409001B" w:tentative="1">
      <w:start w:val="1"/>
      <w:numFmt w:val="lowerRoman"/>
      <w:lvlText w:val="%9."/>
      <w:lvlJc w:val="right"/>
      <w:pPr>
        <w:tabs>
          <w:tab w:val="num" w:pos="5608"/>
        </w:tabs>
        <w:ind w:left="5608" w:hanging="480"/>
      </w:pPr>
    </w:lvl>
  </w:abstractNum>
  <w:abstractNum w:abstractNumId="8">
    <w:nsid w:val="2F482165"/>
    <w:multiLevelType w:val="singleLevel"/>
    <w:tmpl w:val="A59E0ED6"/>
    <w:lvl w:ilvl="0">
      <w:start w:val="1"/>
      <w:numFmt w:val="decimal"/>
      <w:lvlText w:val="%1、"/>
      <w:lvlJc w:val="left"/>
      <w:pPr>
        <w:tabs>
          <w:tab w:val="num" w:pos="1035"/>
        </w:tabs>
        <w:ind w:left="1035" w:hanging="315"/>
      </w:pPr>
      <w:rPr>
        <w:rFonts w:ascii="Times New Roman" w:hint="eastAsia"/>
      </w:rPr>
    </w:lvl>
  </w:abstractNum>
  <w:abstractNum w:abstractNumId="9">
    <w:nsid w:val="31F2427C"/>
    <w:multiLevelType w:val="singleLevel"/>
    <w:tmpl w:val="8FC28AF8"/>
    <w:lvl w:ilvl="0">
      <w:start w:val="1"/>
      <w:numFmt w:val="taiwaneseCountingThousand"/>
      <w:lvlText w:val="(%1)"/>
      <w:lvlJc w:val="left"/>
      <w:pPr>
        <w:tabs>
          <w:tab w:val="num" w:pos="1200"/>
        </w:tabs>
        <w:ind w:left="1200" w:hanging="600"/>
      </w:pPr>
      <w:rPr>
        <w:rFonts w:hint="eastAsia"/>
      </w:rPr>
    </w:lvl>
  </w:abstractNum>
  <w:abstractNum w:abstractNumId="10">
    <w:nsid w:val="330F1155"/>
    <w:multiLevelType w:val="multilevel"/>
    <w:tmpl w:val="D52E076E"/>
    <w:lvl w:ilvl="0">
      <w:start w:val="1"/>
      <w:numFmt w:val="decimal"/>
      <w:lvlText w:val="%1."/>
      <w:lvlJc w:val="left"/>
      <w:pPr>
        <w:tabs>
          <w:tab w:val="num" w:pos="1768"/>
        </w:tabs>
        <w:ind w:left="1768" w:hanging="480"/>
      </w:pPr>
    </w:lvl>
    <w:lvl w:ilvl="1">
      <w:start w:val="1"/>
      <w:numFmt w:val="ideographTraditional"/>
      <w:lvlText w:val="%2、"/>
      <w:lvlJc w:val="left"/>
      <w:pPr>
        <w:tabs>
          <w:tab w:val="num" w:pos="2220"/>
        </w:tabs>
        <w:ind w:left="2220" w:hanging="480"/>
      </w:pPr>
    </w:lvl>
    <w:lvl w:ilvl="2">
      <w:start w:val="1"/>
      <w:numFmt w:val="lowerRoman"/>
      <w:lvlText w:val="%3."/>
      <w:lvlJc w:val="right"/>
      <w:pPr>
        <w:tabs>
          <w:tab w:val="num" w:pos="2700"/>
        </w:tabs>
        <w:ind w:left="2700" w:hanging="480"/>
      </w:pPr>
    </w:lvl>
    <w:lvl w:ilvl="3">
      <w:start w:val="1"/>
      <w:numFmt w:val="decimal"/>
      <w:lvlText w:val="%4."/>
      <w:lvlJc w:val="left"/>
      <w:pPr>
        <w:tabs>
          <w:tab w:val="num" w:pos="3180"/>
        </w:tabs>
        <w:ind w:left="3180" w:hanging="480"/>
      </w:pPr>
    </w:lvl>
    <w:lvl w:ilvl="4">
      <w:start w:val="1"/>
      <w:numFmt w:val="ideographTraditional"/>
      <w:lvlText w:val="%5、"/>
      <w:lvlJc w:val="left"/>
      <w:pPr>
        <w:tabs>
          <w:tab w:val="num" w:pos="3660"/>
        </w:tabs>
        <w:ind w:left="3660" w:hanging="480"/>
      </w:pPr>
    </w:lvl>
    <w:lvl w:ilvl="5">
      <w:start w:val="1"/>
      <w:numFmt w:val="lowerRoman"/>
      <w:lvlText w:val="%6."/>
      <w:lvlJc w:val="right"/>
      <w:pPr>
        <w:tabs>
          <w:tab w:val="num" w:pos="4140"/>
        </w:tabs>
        <w:ind w:left="4140" w:hanging="480"/>
      </w:pPr>
    </w:lvl>
    <w:lvl w:ilvl="6">
      <w:start w:val="1"/>
      <w:numFmt w:val="decimal"/>
      <w:lvlText w:val="%7."/>
      <w:lvlJc w:val="left"/>
      <w:pPr>
        <w:tabs>
          <w:tab w:val="num" w:pos="4620"/>
        </w:tabs>
        <w:ind w:left="4620" w:hanging="480"/>
      </w:pPr>
    </w:lvl>
    <w:lvl w:ilvl="7">
      <w:start w:val="1"/>
      <w:numFmt w:val="ideographTraditional"/>
      <w:lvlText w:val="%8、"/>
      <w:lvlJc w:val="left"/>
      <w:pPr>
        <w:tabs>
          <w:tab w:val="num" w:pos="5100"/>
        </w:tabs>
        <w:ind w:left="5100" w:hanging="480"/>
      </w:pPr>
    </w:lvl>
    <w:lvl w:ilvl="8">
      <w:start w:val="1"/>
      <w:numFmt w:val="lowerRoman"/>
      <w:lvlText w:val="%9."/>
      <w:lvlJc w:val="right"/>
      <w:pPr>
        <w:tabs>
          <w:tab w:val="num" w:pos="5580"/>
        </w:tabs>
        <w:ind w:left="5580" w:hanging="480"/>
      </w:pPr>
    </w:lvl>
  </w:abstractNum>
  <w:abstractNum w:abstractNumId="11">
    <w:nsid w:val="36B9249E"/>
    <w:multiLevelType w:val="hybridMultilevel"/>
    <w:tmpl w:val="D52E076E"/>
    <w:lvl w:ilvl="0" w:tplc="0409000F">
      <w:start w:val="1"/>
      <w:numFmt w:val="decimal"/>
      <w:lvlText w:val="%1."/>
      <w:lvlJc w:val="left"/>
      <w:pPr>
        <w:tabs>
          <w:tab w:val="num" w:pos="1768"/>
        </w:tabs>
        <w:ind w:left="1768" w:hanging="480"/>
      </w:p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tentative="1">
      <w:start w:val="1"/>
      <w:numFmt w:val="lowerRoman"/>
      <w:lvlText w:val="%9."/>
      <w:lvlJc w:val="right"/>
      <w:pPr>
        <w:tabs>
          <w:tab w:val="num" w:pos="5580"/>
        </w:tabs>
        <w:ind w:left="5580" w:hanging="480"/>
      </w:pPr>
    </w:lvl>
  </w:abstractNum>
  <w:abstractNum w:abstractNumId="12">
    <w:nsid w:val="39B46CD2"/>
    <w:multiLevelType w:val="multilevel"/>
    <w:tmpl w:val="19A88252"/>
    <w:lvl w:ilvl="0">
      <w:start w:val="1"/>
      <w:numFmt w:val="taiwaneseCountingThousand"/>
      <w:lvlText w:val="%1、"/>
      <w:lvlJc w:val="left"/>
      <w:pPr>
        <w:tabs>
          <w:tab w:val="num" w:pos="737"/>
        </w:tabs>
        <w:ind w:left="737" w:hanging="624"/>
      </w:pPr>
      <w:rPr>
        <w:rFonts w:ascii="Arial" w:eastAsia="標楷體" w:hAnsi="Arial" w:hint="default"/>
        <w:b w:val="0"/>
        <w:i w:val="0"/>
        <w:color w:val="auto"/>
        <w:sz w:val="24"/>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nsid w:val="40843D12"/>
    <w:multiLevelType w:val="singleLevel"/>
    <w:tmpl w:val="38881406"/>
    <w:lvl w:ilvl="0">
      <w:start w:val="1"/>
      <w:numFmt w:val="taiwaneseCountingThousand"/>
      <w:lvlText w:val="（%1）"/>
      <w:lvlJc w:val="left"/>
      <w:pPr>
        <w:tabs>
          <w:tab w:val="num" w:pos="1335"/>
        </w:tabs>
        <w:ind w:left="1335" w:hanging="855"/>
      </w:pPr>
      <w:rPr>
        <w:rFonts w:hint="eastAsia"/>
      </w:rPr>
    </w:lvl>
  </w:abstractNum>
  <w:abstractNum w:abstractNumId="14">
    <w:nsid w:val="41481A3A"/>
    <w:multiLevelType w:val="hybridMultilevel"/>
    <w:tmpl w:val="9ECC8986"/>
    <w:lvl w:ilvl="0" w:tplc="0409000F">
      <w:start w:val="1"/>
      <w:numFmt w:val="decimal"/>
      <w:lvlText w:val="%1."/>
      <w:lvlJc w:val="left"/>
      <w:pPr>
        <w:tabs>
          <w:tab w:val="num" w:pos="1768"/>
        </w:tabs>
        <w:ind w:left="1768"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70D0099"/>
    <w:multiLevelType w:val="multilevel"/>
    <w:tmpl w:val="48427AF6"/>
    <w:lvl w:ilvl="0">
      <w:start w:val="1"/>
      <w:numFmt w:val="decimal"/>
      <w:lvlText w:val="%1."/>
      <w:lvlJc w:val="left"/>
      <w:pPr>
        <w:tabs>
          <w:tab w:val="num" w:pos="1768"/>
        </w:tabs>
        <w:ind w:left="1768" w:hanging="480"/>
      </w:pPr>
    </w:lvl>
    <w:lvl w:ilvl="1">
      <w:start w:val="1"/>
      <w:numFmt w:val="ideographTraditional"/>
      <w:lvlText w:val="%2、"/>
      <w:lvlJc w:val="left"/>
      <w:pPr>
        <w:tabs>
          <w:tab w:val="num" w:pos="2248"/>
        </w:tabs>
        <w:ind w:left="2248" w:hanging="480"/>
      </w:pPr>
    </w:lvl>
    <w:lvl w:ilvl="2">
      <w:start w:val="1"/>
      <w:numFmt w:val="lowerRoman"/>
      <w:lvlText w:val="%3."/>
      <w:lvlJc w:val="right"/>
      <w:pPr>
        <w:tabs>
          <w:tab w:val="num" w:pos="2728"/>
        </w:tabs>
        <w:ind w:left="2728" w:hanging="480"/>
      </w:pPr>
    </w:lvl>
    <w:lvl w:ilvl="3">
      <w:start w:val="1"/>
      <w:numFmt w:val="decimal"/>
      <w:lvlText w:val="%4."/>
      <w:lvlJc w:val="left"/>
      <w:pPr>
        <w:tabs>
          <w:tab w:val="num" w:pos="3208"/>
        </w:tabs>
        <w:ind w:left="3208" w:hanging="480"/>
      </w:pPr>
    </w:lvl>
    <w:lvl w:ilvl="4">
      <w:start w:val="1"/>
      <w:numFmt w:val="ideographTraditional"/>
      <w:lvlText w:val="%5、"/>
      <w:lvlJc w:val="left"/>
      <w:pPr>
        <w:tabs>
          <w:tab w:val="num" w:pos="3688"/>
        </w:tabs>
        <w:ind w:left="3688" w:hanging="480"/>
      </w:pPr>
    </w:lvl>
    <w:lvl w:ilvl="5">
      <w:start w:val="1"/>
      <w:numFmt w:val="lowerRoman"/>
      <w:lvlText w:val="%6."/>
      <w:lvlJc w:val="right"/>
      <w:pPr>
        <w:tabs>
          <w:tab w:val="num" w:pos="4168"/>
        </w:tabs>
        <w:ind w:left="4168" w:hanging="480"/>
      </w:pPr>
    </w:lvl>
    <w:lvl w:ilvl="6">
      <w:start w:val="1"/>
      <w:numFmt w:val="decimal"/>
      <w:lvlText w:val="%7."/>
      <w:lvlJc w:val="left"/>
      <w:pPr>
        <w:tabs>
          <w:tab w:val="num" w:pos="4648"/>
        </w:tabs>
        <w:ind w:left="4648" w:hanging="480"/>
      </w:pPr>
    </w:lvl>
    <w:lvl w:ilvl="7">
      <w:start w:val="1"/>
      <w:numFmt w:val="ideographTraditional"/>
      <w:lvlText w:val="%8、"/>
      <w:lvlJc w:val="left"/>
      <w:pPr>
        <w:tabs>
          <w:tab w:val="num" w:pos="5128"/>
        </w:tabs>
        <w:ind w:left="5128" w:hanging="480"/>
      </w:pPr>
    </w:lvl>
    <w:lvl w:ilvl="8">
      <w:start w:val="1"/>
      <w:numFmt w:val="lowerRoman"/>
      <w:lvlText w:val="%9."/>
      <w:lvlJc w:val="right"/>
      <w:pPr>
        <w:tabs>
          <w:tab w:val="num" w:pos="5608"/>
        </w:tabs>
        <w:ind w:left="5608" w:hanging="480"/>
      </w:pPr>
    </w:lvl>
  </w:abstractNum>
  <w:abstractNum w:abstractNumId="16">
    <w:nsid w:val="4AB37FA2"/>
    <w:multiLevelType w:val="hybridMultilevel"/>
    <w:tmpl w:val="9D8A5870"/>
    <w:lvl w:ilvl="0" w:tplc="0409000F">
      <w:start w:val="1"/>
      <w:numFmt w:val="decimal"/>
      <w:lvlText w:val="%1."/>
      <w:lvlJc w:val="left"/>
      <w:pPr>
        <w:tabs>
          <w:tab w:val="num" w:pos="1768"/>
        </w:tabs>
        <w:ind w:left="1768" w:hanging="480"/>
      </w:pPr>
    </w:lvl>
    <w:lvl w:ilvl="1" w:tplc="04090019" w:tentative="1">
      <w:start w:val="1"/>
      <w:numFmt w:val="ideographTraditional"/>
      <w:lvlText w:val="%2、"/>
      <w:lvlJc w:val="left"/>
      <w:pPr>
        <w:tabs>
          <w:tab w:val="num" w:pos="2248"/>
        </w:tabs>
        <w:ind w:left="2248" w:hanging="480"/>
      </w:pPr>
    </w:lvl>
    <w:lvl w:ilvl="2" w:tplc="0409001B" w:tentative="1">
      <w:start w:val="1"/>
      <w:numFmt w:val="lowerRoman"/>
      <w:lvlText w:val="%3."/>
      <w:lvlJc w:val="right"/>
      <w:pPr>
        <w:tabs>
          <w:tab w:val="num" w:pos="2728"/>
        </w:tabs>
        <w:ind w:left="2728" w:hanging="480"/>
      </w:pPr>
    </w:lvl>
    <w:lvl w:ilvl="3" w:tplc="0409000F" w:tentative="1">
      <w:start w:val="1"/>
      <w:numFmt w:val="decimal"/>
      <w:lvlText w:val="%4."/>
      <w:lvlJc w:val="left"/>
      <w:pPr>
        <w:tabs>
          <w:tab w:val="num" w:pos="3208"/>
        </w:tabs>
        <w:ind w:left="3208" w:hanging="480"/>
      </w:pPr>
    </w:lvl>
    <w:lvl w:ilvl="4" w:tplc="04090019" w:tentative="1">
      <w:start w:val="1"/>
      <w:numFmt w:val="ideographTraditional"/>
      <w:lvlText w:val="%5、"/>
      <w:lvlJc w:val="left"/>
      <w:pPr>
        <w:tabs>
          <w:tab w:val="num" w:pos="3688"/>
        </w:tabs>
        <w:ind w:left="3688" w:hanging="480"/>
      </w:pPr>
    </w:lvl>
    <w:lvl w:ilvl="5" w:tplc="0409001B" w:tentative="1">
      <w:start w:val="1"/>
      <w:numFmt w:val="lowerRoman"/>
      <w:lvlText w:val="%6."/>
      <w:lvlJc w:val="right"/>
      <w:pPr>
        <w:tabs>
          <w:tab w:val="num" w:pos="4168"/>
        </w:tabs>
        <w:ind w:left="4168" w:hanging="480"/>
      </w:pPr>
    </w:lvl>
    <w:lvl w:ilvl="6" w:tplc="0409000F" w:tentative="1">
      <w:start w:val="1"/>
      <w:numFmt w:val="decimal"/>
      <w:lvlText w:val="%7."/>
      <w:lvlJc w:val="left"/>
      <w:pPr>
        <w:tabs>
          <w:tab w:val="num" w:pos="4648"/>
        </w:tabs>
        <w:ind w:left="4648" w:hanging="480"/>
      </w:pPr>
    </w:lvl>
    <w:lvl w:ilvl="7" w:tplc="04090019" w:tentative="1">
      <w:start w:val="1"/>
      <w:numFmt w:val="ideographTraditional"/>
      <w:lvlText w:val="%8、"/>
      <w:lvlJc w:val="left"/>
      <w:pPr>
        <w:tabs>
          <w:tab w:val="num" w:pos="5128"/>
        </w:tabs>
        <w:ind w:left="5128" w:hanging="480"/>
      </w:pPr>
    </w:lvl>
    <w:lvl w:ilvl="8" w:tplc="0409001B" w:tentative="1">
      <w:start w:val="1"/>
      <w:numFmt w:val="lowerRoman"/>
      <w:lvlText w:val="%9."/>
      <w:lvlJc w:val="right"/>
      <w:pPr>
        <w:tabs>
          <w:tab w:val="num" w:pos="5608"/>
        </w:tabs>
        <w:ind w:left="5608" w:hanging="480"/>
      </w:pPr>
    </w:lvl>
  </w:abstractNum>
  <w:abstractNum w:abstractNumId="17">
    <w:nsid w:val="5AC03D6E"/>
    <w:multiLevelType w:val="hybridMultilevel"/>
    <w:tmpl w:val="AB3E1AA6"/>
    <w:lvl w:ilvl="0" w:tplc="C1321E10">
      <w:start w:val="1"/>
      <w:numFmt w:val="taiwaneseCountingThousand"/>
      <w:lvlText w:val="（%1）"/>
      <w:lvlJc w:val="left"/>
      <w:pPr>
        <w:tabs>
          <w:tab w:val="num" w:pos="4258"/>
        </w:tabs>
        <w:ind w:left="4258" w:hanging="855"/>
      </w:pPr>
      <w:rPr>
        <w:rFonts w:hint="default"/>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nsid w:val="5ED72B9B"/>
    <w:multiLevelType w:val="multilevel"/>
    <w:tmpl w:val="48427AF6"/>
    <w:lvl w:ilvl="0">
      <w:start w:val="1"/>
      <w:numFmt w:val="decimal"/>
      <w:lvlText w:val="%1."/>
      <w:lvlJc w:val="left"/>
      <w:pPr>
        <w:tabs>
          <w:tab w:val="num" w:pos="1768"/>
        </w:tabs>
        <w:ind w:left="1768" w:hanging="480"/>
      </w:pPr>
    </w:lvl>
    <w:lvl w:ilvl="1">
      <w:start w:val="1"/>
      <w:numFmt w:val="ideographTraditional"/>
      <w:lvlText w:val="%2、"/>
      <w:lvlJc w:val="left"/>
      <w:pPr>
        <w:tabs>
          <w:tab w:val="num" w:pos="2248"/>
        </w:tabs>
        <w:ind w:left="2248" w:hanging="480"/>
      </w:pPr>
    </w:lvl>
    <w:lvl w:ilvl="2">
      <w:start w:val="1"/>
      <w:numFmt w:val="lowerRoman"/>
      <w:lvlText w:val="%3."/>
      <w:lvlJc w:val="right"/>
      <w:pPr>
        <w:tabs>
          <w:tab w:val="num" w:pos="2728"/>
        </w:tabs>
        <w:ind w:left="2728" w:hanging="480"/>
      </w:pPr>
    </w:lvl>
    <w:lvl w:ilvl="3">
      <w:start w:val="1"/>
      <w:numFmt w:val="decimal"/>
      <w:lvlText w:val="%4."/>
      <w:lvlJc w:val="left"/>
      <w:pPr>
        <w:tabs>
          <w:tab w:val="num" w:pos="3208"/>
        </w:tabs>
        <w:ind w:left="3208" w:hanging="480"/>
      </w:pPr>
    </w:lvl>
    <w:lvl w:ilvl="4">
      <w:start w:val="1"/>
      <w:numFmt w:val="ideographTraditional"/>
      <w:lvlText w:val="%5、"/>
      <w:lvlJc w:val="left"/>
      <w:pPr>
        <w:tabs>
          <w:tab w:val="num" w:pos="3688"/>
        </w:tabs>
        <w:ind w:left="3688" w:hanging="480"/>
      </w:pPr>
    </w:lvl>
    <w:lvl w:ilvl="5">
      <w:start w:val="1"/>
      <w:numFmt w:val="lowerRoman"/>
      <w:lvlText w:val="%6."/>
      <w:lvlJc w:val="right"/>
      <w:pPr>
        <w:tabs>
          <w:tab w:val="num" w:pos="4168"/>
        </w:tabs>
        <w:ind w:left="4168" w:hanging="480"/>
      </w:pPr>
    </w:lvl>
    <w:lvl w:ilvl="6">
      <w:start w:val="1"/>
      <w:numFmt w:val="decimal"/>
      <w:lvlText w:val="%7."/>
      <w:lvlJc w:val="left"/>
      <w:pPr>
        <w:tabs>
          <w:tab w:val="num" w:pos="4648"/>
        </w:tabs>
        <w:ind w:left="4648" w:hanging="480"/>
      </w:pPr>
    </w:lvl>
    <w:lvl w:ilvl="7">
      <w:start w:val="1"/>
      <w:numFmt w:val="ideographTraditional"/>
      <w:lvlText w:val="%8、"/>
      <w:lvlJc w:val="left"/>
      <w:pPr>
        <w:tabs>
          <w:tab w:val="num" w:pos="5128"/>
        </w:tabs>
        <w:ind w:left="5128" w:hanging="480"/>
      </w:pPr>
    </w:lvl>
    <w:lvl w:ilvl="8">
      <w:start w:val="1"/>
      <w:numFmt w:val="lowerRoman"/>
      <w:lvlText w:val="%9."/>
      <w:lvlJc w:val="right"/>
      <w:pPr>
        <w:tabs>
          <w:tab w:val="num" w:pos="5608"/>
        </w:tabs>
        <w:ind w:left="5608" w:hanging="480"/>
      </w:pPr>
    </w:lvl>
  </w:abstractNum>
  <w:abstractNum w:abstractNumId="19">
    <w:nsid w:val="6B64378E"/>
    <w:multiLevelType w:val="multilevel"/>
    <w:tmpl w:val="D90C1CD8"/>
    <w:lvl w:ilvl="0">
      <w:start w:val="1"/>
      <w:numFmt w:val="taiwaneseCountingThousand"/>
      <w:suff w:val="nothing"/>
      <w:lvlText w:val="%1、"/>
      <w:lvlJc w:val="left"/>
      <w:pPr>
        <w:ind w:left="765" w:hanging="652"/>
      </w:pPr>
      <w:rPr>
        <w:rFonts w:hint="eastAsia"/>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nsid w:val="6EB60161"/>
    <w:multiLevelType w:val="hybridMultilevel"/>
    <w:tmpl w:val="12EE920A"/>
    <w:lvl w:ilvl="0" w:tplc="C1321E10">
      <w:start w:val="1"/>
      <w:numFmt w:val="taiwaneseCountingThousand"/>
      <w:lvlText w:val="（%1）"/>
      <w:lvlJc w:val="left"/>
      <w:pPr>
        <w:tabs>
          <w:tab w:val="num" w:pos="1335"/>
        </w:tabs>
        <w:ind w:left="133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6F817FCF"/>
    <w:multiLevelType w:val="multilevel"/>
    <w:tmpl w:val="9ECC8986"/>
    <w:lvl w:ilvl="0">
      <w:start w:val="1"/>
      <w:numFmt w:val="decimal"/>
      <w:lvlText w:val="%1."/>
      <w:lvlJc w:val="left"/>
      <w:pPr>
        <w:tabs>
          <w:tab w:val="num" w:pos="1768"/>
        </w:tabs>
        <w:ind w:left="1768"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6FD87EE4"/>
    <w:multiLevelType w:val="multilevel"/>
    <w:tmpl w:val="D52E076E"/>
    <w:lvl w:ilvl="0">
      <w:start w:val="1"/>
      <w:numFmt w:val="decimal"/>
      <w:lvlText w:val="%1."/>
      <w:lvlJc w:val="left"/>
      <w:pPr>
        <w:tabs>
          <w:tab w:val="num" w:pos="1768"/>
        </w:tabs>
        <w:ind w:left="1768" w:hanging="480"/>
      </w:pPr>
    </w:lvl>
    <w:lvl w:ilvl="1">
      <w:start w:val="1"/>
      <w:numFmt w:val="ideographTraditional"/>
      <w:lvlText w:val="%2、"/>
      <w:lvlJc w:val="left"/>
      <w:pPr>
        <w:tabs>
          <w:tab w:val="num" w:pos="2220"/>
        </w:tabs>
        <w:ind w:left="2220" w:hanging="480"/>
      </w:pPr>
    </w:lvl>
    <w:lvl w:ilvl="2">
      <w:start w:val="1"/>
      <w:numFmt w:val="lowerRoman"/>
      <w:lvlText w:val="%3."/>
      <w:lvlJc w:val="right"/>
      <w:pPr>
        <w:tabs>
          <w:tab w:val="num" w:pos="2700"/>
        </w:tabs>
        <w:ind w:left="2700" w:hanging="480"/>
      </w:pPr>
    </w:lvl>
    <w:lvl w:ilvl="3">
      <w:start w:val="1"/>
      <w:numFmt w:val="decimal"/>
      <w:lvlText w:val="%4."/>
      <w:lvlJc w:val="left"/>
      <w:pPr>
        <w:tabs>
          <w:tab w:val="num" w:pos="3180"/>
        </w:tabs>
        <w:ind w:left="3180" w:hanging="480"/>
      </w:pPr>
    </w:lvl>
    <w:lvl w:ilvl="4">
      <w:start w:val="1"/>
      <w:numFmt w:val="ideographTraditional"/>
      <w:lvlText w:val="%5、"/>
      <w:lvlJc w:val="left"/>
      <w:pPr>
        <w:tabs>
          <w:tab w:val="num" w:pos="3660"/>
        </w:tabs>
        <w:ind w:left="3660" w:hanging="480"/>
      </w:pPr>
    </w:lvl>
    <w:lvl w:ilvl="5">
      <w:start w:val="1"/>
      <w:numFmt w:val="lowerRoman"/>
      <w:lvlText w:val="%6."/>
      <w:lvlJc w:val="right"/>
      <w:pPr>
        <w:tabs>
          <w:tab w:val="num" w:pos="4140"/>
        </w:tabs>
        <w:ind w:left="4140" w:hanging="480"/>
      </w:pPr>
    </w:lvl>
    <w:lvl w:ilvl="6">
      <w:start w:val="1"/>
      <w:numFmt w:val="decimal"/>
      <w:lvlText w:val="%7."/>
      <w:lvlJc w:val="left"/>
      <w:pPr>
        <w:tabs>
          <w:tab w:val="num" w:pos="4620"/>
        </w:tabs>
        <w:ind w:left="4620" w:hanging="480"/>
      </w:pPr>
    </w:lvl>
    <w:lvl w:ilvl="7">
      <w:start w:val="1"/>
      <w:numFmt w:val="ideographTraditional"/>
      <w:lvlText w:val="%8、"/>
      <w:lvlJc w:val="left"/>
      <w:pPr>
        <w:tabs>
          <w:tab w:val="num" w:pos="5100"/>
        </w:tabs>
        <w:ind w:left="5100" w:hanging="480"/>
      </w:pPr>
    </w:lvl>
    <w:lvl w:ilvl="8">
      <w:start w:val="1"/>
      <w:numFmt w:val="lowerRoman"/>
      <w:lvlText w:val="%9."/>
      <w:lvlJc w:val="right"/>
      <w:pPr>
        <w:tabs>
          <w:tab w:val="num" w:pos="5580"/>
        </w:tabs>
        <w:ind w:left="5580" w:hanging="480"/>
      </w:pPr>
    </w:lvl>
  </w:abstractNum>
  <w:abstractNum w:abstractNumId="23">
    <w:nsid w:val="71BE59FD"/>
    <w:multiLevelType w:val="hybridMultilevel"/>
    <w:tmpl w:val="FC1A101A"/>
    <w:lvl w:ilvl="0" w:tplc="C1321E10">
      <w:start w:val="1"/>
      <w:numFmt w:val="taiwaneseCountingThousand"/>
      <w:lvlText w:val="（%1）"/>
      <w:lvlJc w:val="left"/>
      <w:pPr>
        <w:tabs>
          <w:tab w:val="num" w:pos="1335"/>
        </w:tabs>
        <w:ind w:left="133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743A350E"/>
    <w:multiLevelType w:val="multilevel"/>
    <w:tmpl w:val="0FD47770"/>
    <w:lvl w:ilvl="0">
      <w:start w:val="1"/>
      <w:numFmt w:val="taiwaneseCountingThousand"/>
      <w:lvlText w:val="（%1）"/>
      <w:lvlJc w:val="left"/>
      <w:pPr>
        <w:tabs>
          <w:tab w:val="num" w:pos="1335"/>
        </w:tabs>
        <w:ind w:left="1335" w:hanging="85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791A2A8B"/>
    <w:multiLevelType w:val="singleLevel"/>
    <w:tmpl w:val="C7326670"/>
    <w:lvl w:ilvl="0">
      <w:start w:val="1"/>
      <w:numFmt w:val="taiwaneseCountingThousand"/>
      <w:lvlText w:val="(%1)"/>
      <w:lvlJc w:val="left"/>
      <w:pPr>
        <w:tabs>
          <w:tab w:val="num" w:pos="1065"/>
        </w:tabs>
        <w:ind w:left="1065" w:hanging="465"/>
      </w:pPr>
      <w:rPr>
        <w:rFonts w:hint="eastAsia"/>
      </w:rPr>
    </w:lvl>
  </w:abstractNum>
  <w:abstractNum w:abstractNumId="26">
    <w:nsid w:val="7CDB3633"/>
    <w:multiLevelType w:val="hybridMultilevel"/>
    <w:tmpl w:val="E85A60B2"/>
    <w:lvl w:ilvl="0" w:tplc="0409000F">
      <w:start w:val="1"/>
      <w:numFmt w:val="decimal"/>
      <w:lvlText w:val="%1."/>
      <w:lvlJc w:val="left"/>
      <w:pPr>
        <w:tabs>
          <w:tab w:val="num" w:pos="1768"/>
        </w:tabs>
        <w:ind w:left="1768"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7F037A9C"/>
    <w:multiLevelType w:val="multilevel"/>
    <w:tmpl w:val="1542CC8A"/>
    <w:lvl w:ilvl="0">
      <w:start w:val="1"/>
      <w:numFmt w:val="aiueo"/>
      <w:lvlText w:val="%1、"/>
      <w:legacy w:legacy="1" w:legacySpace="0" w:legacyIndent="680"/>
      <w:lvlJc w:val="left"/>
      <w:pPr>
        <w:ind w:left="680" w:hanging="680"/>
      </w:pPr>
    </w:lvl>
    <w:lvl w:ilvl="1">
      <w:start w:val="1"/>
      <w:numFmt w:val="aiueo"/>
      <w:lvlText w:val="(%2)"/>
      <w:legacy w:legacy="1" w:legacySpace="0" w:legacyIndent="851"/>
      <w:lvlJc w:val="left"/>
      <w:pPr>
        <w:ind w:left="1531" w:hanging="851"/>
      </w:pPr>
    </w:lvl>
    <w:lvl w:ilvl="2">
      <w:start w:val="1"/>
      <w:numFmt w:val="decimal"/>
      <w:lvlText w:val="%3."/>
      <w:legacy w:legacy="1" w:legacySpace="0" w:legacyIndent="567"/>
      <w:lvlJc w:val="left"/>
      <w:pPr>
        <w:ind w:left="2098" w:hanging="567"/>
      </w:pPr>
    </w:lvl>
    <w:lvl w:ilvl="3">
      <w:start w:val="1"/>
      <w:numFmt w:val="decimal"/>
      <w:lvlText w:val="%4)"/>
      <w:legacy w:legacy="1" w:legacySpace="0" w:legacyIndent="425"/>
      <w:lvlJc w:val="left"/>
      <w:pPr>
        <w:ind w:left="2523" w:hanging="425"/>
      </w:pPr>
    </w:lvl>
    <w:lvl w:ilvl="4">
      <w:start w:val="1"/>
      <w:numFmt w:val="decimal"/>
      <w:lvlText w:val="(%5)"/>
      <w:legacy w:legacy="1" w:legacySpace="0" w:legacyIndent="425"/>
      <w:lvlJc w:val="left"/>
      <w:pPr>
        <w:ind w:left="2948" w:hanging="425"/>
      </w:pPr>
    </w:lvl>
    <w:lvl w:ilvl="5">
      <w:start w:val="1"/>
      <w:numFmt w:val="lowerLetter"/>
      <w:lvlText w:val="%6."/>
      <w:legacy w:legacy="1" w:legacySpace="0" w:legacyIndent="425"/>
      <w:lvlJc w:val="left"/>
      <w:pPr>
        <w:ind w:left="3373" w:hanging="425"/>
      </w:pPr>
    </w:lvl>
    <w:lvl w:ilvl="6">
      <w:start w:val="1"/>
      <w:numFmt w:val="lowerLetter"/>
      <w:lvlText w:val="%7)"/>
      <w:legacy w:legacy="1" w:legacySpace="0" w:legacyIndent="425"/>
      <w:lvlJc w:val="left"/>
      <w:pPr>
        <w:ind w:left="3798" w:hanging="425"/>
      </w:pPr>
    </w:lvl>
    <w:lvl w:ilvl="7">
      <w:start w:val="1"/>
      <w:numFmt w:val="lowerRoman"/>
      <w:lvlText w:val="(%8)"/>
      <w:legacy w:legacy="1" w:legacySpace="0" w:legacyIndent="425"/>
      <w:lvlJc w:val="left"/>
      <w:pPr>
        <w:ind w:left="4223" w:hanging="425"/>
      </w:pPr>
    </w:lvl>
    <w:lvl w:ilvl="8">
      <w:start w:val="1"/>
      <w:numFmt w:val="lowerRoman"/>
      <w:lvlText w:val="%9"/>
      <w:legacy w:legacy="1" w:legacySpace="0" w:legacyIndent="425"/>
      <w:lvlJc w:val="left"/>
      <w:pPr>
        <w:ind w:left="4648" w:hanging="425"/>
      </w:pPr>
    </w:lvl>
  </w:abstractNum>
  <w:abstractNum w:abstractNumId="28">
    <w:nsid w:val="7F467DD7"/>
    <w:multiLevelType w:val="hybridMultilevel"/>
    <w:tmpl w:val="0FD47770"/>
    <w:lvl w:ilvl="0" w:tplc="C1321E10">
      <w:start w:val="1"/>
      <w:numFmt w:val="taiwaneseCountingThousand"/>
      <w:lvlText w:val="（%1）"/>
      <w:lvlJc w:val="left"/>
      <w:pPr>
        <w:tabs>
          <w:tab w:val="num" w:pos="1335"/>
        </w:tabs>
        <w:ind w:left="133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7"/>
  </w:num>
  <w:num w:numId="2">
    <w:abstractNumId w:val="12"/>
  </w:num>
  <w:num w:numId="3">
    <w:abstractNumId w:val="23"/>
  </w:num>
  <w:num w:numId="4">
    <w:abstractNumId w:val="0"/>
  </w:num>
  <w:num w:numId="5">
    <w:abstractNumId w:val="17"/>
  </w:num>
  <w:num w:numId="6">
    <w:abstractNumId w:val="3"/>
  </w:num>
  <w:num w:numId="7">
    <w:abstractNumId w:val="11"/>
  </w:num>
  <w:num w:numId="8">
    <w:abstractNumId w:val="28"/>
  </w:num>
  <w:num w:numId="9">
    <w:abstractNumId w:val="25"/>
  </w:num>
  <w:num w:numId="10">
    <w:abstractNumId w:val="8"/>
  </w:num>
  <w:num w:numId="11">
    <w:abstractNumId w:val="10"/>
  </w:num>
  <w:num w:numId="12">
    <w:abstractNumId w:val="7"/>
  </w:num>
  <w:num w:numId="13">
    <w:abstractNumId w:val="9"/>
  </w:num>
  <w:num w:numId="14">
    <w:abstractNumId w:val="24"/>
  </w:num>
  <w:num w:numId="15">
    <w:abstractNumId w:val="6"/>
  </w:num>
  <w:num w:numId="16">
    <w:abstractNumId w:val="13"/>
  </w:num>
  <w:num w:numId="17">
    <w:abstractNumId w:val="1"/>
  </w:num>
  <w:num w:numId="18">
    <w:abstractNumId w:val="20"/>
  </w:num>
  <w:num w:numId="19">
    <w:abstractNumId w:val="15"/>
  </w:num>
  <w:num w:numId="20">
    <w:abstractNumId w:val="18"/>
  </w:num>
  <w:num w:numId="21">
    <w:abstractNumId w:val="16"/>
  </w:num>
  <w:num w:numId="22">
    <w:abstractNumId w:val="2"/>
  </w:num>
  <w:num w:numId="23">
    <w:abstractNumId w:val="22"/>
  </w:num>
  <w:num w:numId="24">
    <w:abstractNumId w:val="14"/>
  </w:num>
  <w:num w:numId="25">
    <w:abstractNumId w:val="4"/>
  </w:num>
  <w:num w:numId="26">
    <w:abstractNumId w:val="5"/>
  </w:num>
  <w:num w:numId="27">
    <w:abstractNumId w:val="21"/>
  </w:num>
  <w:num w:numId="28">
    <w:abstractNumId w:val="2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24B"/>
    <w:rsid w:val="00036D60"/>
    <w:rsid w:val="000E7242"/>
    <w:rsid w:val="00186823"/>
    <w:rsid w:val="001E2F9B"/>
    <w:rsid w:val="001E5334"/>
    <w:rsid w:val="002362C8"/>
    <w:rsid w:val="00261EFC"/>
    <w:rsid w:val="00341962"/>
    <w:rsid w:val="0037738D"/>
    <w:rsid w:val="00451F52"/>
    <w:rsid w:val="004C22E6"/>
    <w:rsid w:val="004E19A3"/>
    <w:rsid w:val="00550F15"/>
    <w:rsid w:val="00567794"/>
    <w:rsid w:val="0065724B"/>
    <w:rsid w:val="007B7619"/>
    <w:rsid w:val="007F16C0"/>
    <w:rsid w:val="00845239"/>
    <w:rsid w:val="00914F0E"/>
    <w:rsid w:val="0095701C"/>
    <w:rsid w:val="00AA6F8E"/>
    <w:rsid w:val="00AE1D64"/>
    <w:rsid w:val="00B313BC"/>
    <w:rsid w:val="00B50E57"/>
    <w:rsid w:val="00BB03A7"/>
    <w:rsid w:val="00BE50C5"/>
    <w:rsid w:val="00C31233"/>
    <w:rsid w:val="00CA0863"/>
    <w:rsid w:val="00CA38D3"/>
    <w:rsid w:val="00CC11CB"/>
    <w:rsid w:val="00CC5D2C"/>
    <w:rsid w:val="00CE4E58"/>
    <w:rsid w:val="00D432CD"/>
    <w:rsid w:val="00D86FD0"/>
    <w:rsid w:val="00D945A3"/>
    <w:rsid w:val="00DA1A58"/>
    <w:rsid w:val="00E10C18"/>
    <w:rsid w:val="00E50D98"/>
    <w:rsid w:val="00EA6219"/>
    <w:rsid w:val="00ED36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500" w:lineRule="exact"/>
      <w:ind w:left="714"/>
      <w:jc w:val="both"/>
    </w:pPr>
    <w:rPr>
      <w:rFonts w:ascii="標楷體" w:eastAsia="標楷體"/>
      <w:spacing w:val="24"/>
      <w:sz w:val="28"/>
    </w:rPr>
  </w:style>
  <w:style w:type="paragraph" w:styleId="a4">
    <w:name w:val="Body Text"/>
    <w:basedOn w:val="a"/>
    <w:pPr>
      <w:spacing w:line="500" w:lineRule="exact"/>
      <w:jc w:val="both"/>
    </w:pPr>
    <w:rPr>
      <w:rFonts w:ascii="標楷體" w:eastAsia="標楷體"/>
      <w:spacing w:val="24"/>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paragraph" w:styleId="a7">
    <w:name w:val="header"/>
    <w:basedOn w:val="a"/>
    <w:pPr>
      <w:tabs>
        <w:tab w:val="center" w:pos="4153"/>
        <w:tab w:val="right" w:pos="8306"/>
      </w:tabs>
      <w:snapToGrid w:val="0"/>
    </w:pPr>
    <w:rPr>
      <w:sz w:val="20"/>
    </w:rPr>
  </w:style>
  <w:style w:type="paragraph" w:styleId="a8">
    <w:name w:val="Balloon Text"/>
    <w:basedOn w:val="a"/>
    <w:semiHidden/>
    <w:rPr>
      <w:rFonts w:ascii="Arial" w:hAnsi="Arial"/>
      <w:sz w:val="18"/>
      <w:szCs w:val="18"/>
    </w:rPr>
  </w:style>
  <w:style w:type="paragraph" w:styleId="2">
    <w:name w:val="Body Text Indent 2"/>
    <w:basedOn w:val="a"/>
    <w:pPr>
      <w:spacing w:after="120" w:line="480" w:lineRule="auto"/>
      <w:ind w:leftChars="200" w:left="480"/>
    </w:pPr>
  </w:style>
  <w:style w:type="paragraph" w:styleId="a9">
    <w:name w:val="Block Text"/>
    <w:basedOn w:val="a"/>
    <w:pPr>
      <w:tabs>
        <w:tab w:val="left" w:pos="1260"/>
        <w:tab w:val="left" w:pos="1620"/>
        <w:tab w:val="left" w:pos="1800"/>
      </w:tabs>
      <w:adjustRightInd/>
      <w:spacing w:line="240" w:lineRule="auto"/>
      <w:ind w:leftChars="550" w:left="1320" w:right="40"/>
      <w:jc w:val="both"/>
      <w:textAlignment w:val="auto"/>
    </w:pPr>
    <w:rPr>
      <w:rFonts w:ascii="新細明體" w:hAnsi="新細明體"/>
      <w:color w:val="FF0000"/>
      <w:spacing w:val="10"/>
      <w:kern w:val="2"/>
      <w:szCs w:val="24"/>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color w:val="333333"/>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500" w:lineRule="exact"/>
      <w:ind w:left="714"/>
      <w:jc w:val="both"/>
    </w:pPr>
    <w:rPr>
      <w:rFonts w:ascii="標楷體" w:eastAsia="標楷體"/>
      <w:spacing w:val="24"/>
      <w:sz w:val="28"/>
    </w:rPr>
  </w:style>
  <w:style w:type="paragraph" w:styleId="a4">
    <w:name w:val="Body Text"/>
    <w:basedOn w:val="a"/>
    <w:pPr>
      <w:spacing w:line="500" w:lineRule="exact"/>
      <w:jc w:val="both"/>
    </w:pPr>
    <w:rPr>
      <w:rFonts w:ascii="標楷體" w:eastAsia="標楷體"/>
      <w:spacing w:val="24"/>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paragraph" w:styleId="a7">
    <w:name w:val="header"/>
    <w:basedOn w:val="a"/>
    <w:pPr>
      <w:tabs>
        <w:tab w:val="center" w:pos="4153"/>
        <w:tab w:val="right" w:pos="8306"/>
      </w:tabs>
      <w:snapToGrid w:val="0"/>
    </w:pPr>
    <w:rPr>
      <w:sz w:val="20"/>
    </w:rPr>
  </w:style>
  <w:style w:type="paragraph" w:styleId="a8">
    <w:name w:val="Balloon Text"/>
    <w:basedOn w:val="a"/>
    <w:semiHidden/>
    <w:rPr>
      <w:rFonts w:ascii="Arial" w:hAnsi="Arial"/>
      <w:sz w:val="18"/>
      <w:szCs w:val="18"/>
    </w:rPr>
  </w:style>
  <w:style w:type="paragraph" w:styleId="2">
    <w:name w:val="Body Text Indent 2"/>
    <w:basedOn w:val="a"/>
    <w:pPr>
      <w:spacing w:after="120" w:line="480" w:lineRule="auto"/>
      <w:ind w:leftChars="200" w:left="480"/>
    </w:pPr>
  </w:style>
  <w:style w:type="paragraph" w:styleId="a9">
    <w:name w:val="Block Text"/>
    <w:basedOn w:val="a"/>
    <w:pPr>
      <w:tabs>
        <w:tab w:val="left" w:pos="1260"/>
        <w:tab w:val="left" w:pos="1620"/>
        <w:tab w:val="left" w:pos="1800"/>
      </w:tabs>
      <w:adjustRightInd/>
      <w:spacing w:line="240" w:lineRule="auto"/>
      <w:ind w:leftChars="550" w:left="1320" w:right="40"/>
      <w:jc w:val="both"/>
      <w:textAlignment w:val="auto"/>
    </w:pPr>
    <w:rPr>
      <w:rFonts w:ascii="新細明體" w:hAnsi="新細明體"/>
      <w:color w:val="FF0000"/>
      <w:spacing w:val="10"/>
      <w:kern w:val="2"/>
      <w:szCs w:val="24"/>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color w:val="33333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658</Words>
  <Characters>3755</Characters>
  <Application>Microsoft Office Word</Application>
  <DocSecurity>0</DocSecurity>
  <Lines>31</Lines>
  <Paragraphs>8</Paragraphs>
  <ScaleCrop>false</ScaleCrop>
  <Company>TSE</Company>
  <LinksUpToDate>false</LinksUpToDate>
  <CharactersWithSpaces>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邱 淑 珍</dc:creator>
  <cp:lastModifiedBy>范加麟</cp:lastModifiedBy>
  <cp:revision>2</cp:revision>
  <cp:lastPrinted>2008-03-19T05:40:00Z</cp:lastPrinted>
  <dcterms:created xsi:type="dcterms:W3CDTF">2019-10-17T10:19:00Z</dcterms:created>
  <dcterms:modified xsi:type="dcterms:W3CDTF">2019-10-17T10:19:00Z</dcterms:modified>
</cp:coreProperties>
</file>