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C1E" w:rsidRDefault="00853C1E">
      <w:pPr>
        <w:spacing w:line="400" w:lineRule="exact"/>
        <w:jc w:val="center"/>
        <w:rPr>
          <w:rFonts w:ascii="Arial" w:eastAsia="標楷體" w:hAnsi="Arial" w:cs="Arial" w:hint="eastAsia"/>
          <w:color w:val="000000"/>
          <w:szCs w:val="24"/>
        </w:rPr>
      </w:pPr>
      <w:bookmarkStart w:id="0" w:name="_GoBack"/>
      <w:bookmarkEnd w:id="0"/>
    </w:p>
    <w:p w:rsidR="00853C1E" w:rsidRDefault="00853C1E">
      <w:pPr>
        <w:spacing w:line="400" w:lineRule="exact"/>
        <w:jc w:val="center"/>
        <w:rPr>
          <w:rFonts w:ascii="Arial" w:eastAsia="標楷體" w:hAnsi="Arial" w:cs="Arial" w:hint="eastAsia"/>
          <w:color w:val="000000"/>
          <w:szCs w:val="24"/>
        </w:rPr>
      </w:pPr>
    </w:p>
    <w:p w:rsidR="00853C1E" w:rsidRDefault="00853C1E">
      <w:pPr>
        <w:spacing w:line="400" w:lineRule="exact"/>
        <w:jc w:val="center"/>
        <w:rPr>
          <w:rFonts w:ascii="Arial" w:eastAsia="標楷體" w:hAnsi="Arial" w:cs="Arial"/>
          <w:color w:val="000000"/>
          <w:szCs w:val="24"/>
        </w:rPr>
      </w:pPr>
    </w:p>
    <w:p w:rsidR="00853C1E" w:rsidRDefault="00853C1E">
      <w:pPr>
        <w:spacing w:line="400" w:lineRule="exact"/>
        <w:jc w:val="center"/>
        <w:rPr>
          <w:rFonts w:ascii="Arial" w:eastAsia="標楷體" w:hAnsi="Arial" w:cs="Arial"/>
          <w:color w:val="000000"/>
          <w:szCs w:val="24"/>
        </w:rPr>
      </w:pPr>
    </w:p>
    <w:p w:rsidR="00853C1E" w:rsidRDefault="00853C1E">
      <w:pPr>
        <w:spacing w:line="400" w:lineRule="exact"/>
        <w:jc w:val="center"/>
        <w:rPr>
          <w:rFonts w:ascii="Arial" w:eastAsia="標楷體" w:hAnsi="Arial" w:cs="Arial"/>
          <w:color w:val="000000"/>
          <w:szCs w:val="24"/>
        </w:rPr>
      </w:pPr>
    </w:p>
    <w:p w:rsidR="00853C1E" w:rsidRDefault="00853C1E">
      <w:pPr>
        <w:spacing w:line="400" w:lineRule="exact"/>
        <w:jc w:val="center"/>
        <w:rPr>
          <w:rFonts w:ascii="Arial" w:eastAsia="標楷體" w:hAnsi="Arial" w:cs="Arial"/>
          <w:color w:val="000000"/>
          <w:szCs w:val="24"/>
        </w:rPr>
      </w:pPr>
    </w:p>
    <w:p w:rsidR="00853C1E" w:rsidRDefault="00853C1E">
      <w:pPr>
        <w:spacing w:line="400" w:lineRule="exact"/>
        <w:jc w:val="center"/>
        <w:rPr>
          <w:rFonts w:ascii="Arial" w:eastAsia="標楷體" w:hAnsi="Arial" w:cs="Arial"/>
          <w:color w:val="000000"/>
          <w:szCs w:val="24"/>
        </w:rPr>
      </w:pPr>
    </w:p>
    <w:p w:rsidR="00853C1E" w:rsidRDefault="00853C1E">
      <w:pPr>
        <w:spacing w:line="400" w:lineRule="exact"/>
        <w:jc w:val="center"/>
        <w:rPr>
          <w:rFonts w:ascii="Arial" w:eastAsia="標楷體" w:hAnsi="Arial" w:cs="Arial" w:hint="eastAsia"/>
          <w:color w:val="000000"/>
          <w:szCs w:val="24"/>
        </w:rPr>
      </w:pPr>
    </w:p>
    <w:p w:rsidR="00853C1E" w:rsidRDefault="00853C1E">
      <w:pPr>
        <w:spacing w:line="400" w:lineRule="exact"/>
        <w:jc w:val="center"/>
        <w:rPr>
          <w:rFonts w:ascii="Arial" w:eastAsia="標楷體" w:hAnsi="Arial" w:cs="Arial" w:hint="eastAsia"/>
          <w:color w:val="000000"/>
          <w:szCs w:val="24"/>
        </w:rPr>
      </w:pPr>
    </w:p>
    <w:p w:rsidR="00853C1E" w:rsidRDefault="00853C1E">
      <w:pPr>
        <w:spacing w:line="400" w:lineRule="exact"/>
        <w:jc w:val="center"/>
        <w:rPr>
          <w:rFonts w:ascii="Arial" w:eastAsia="標楷體" w:hAnsi="Arial" w:cs="Arial" w:hint="eastAsia"/>
          <w:color w:val="000000"/>
          <w:szCs w:val="24"/>
        </w:rPr>
      </w:pPr>
    </w:p>
    <w:p w:rsidR="00853C1E" w:rsidRDefault="00853C1E">
      <w:pPr>
        <w:spacing w:line="400" w:lineRule="exact"/>
        <w:jc w:val="center"/>
        <w:rPr>
          <w:rFonts w:ascii="Arial" w:eastAsia="標楷體" w:hAnsi="Arial" w:cs="Arial"/>
          <w:sz w:val="40"/>
          <w:szCs w:val="40"/>
        </w:rPr>
      </w:pPr>
      <w:r>
        <w:rPr>
          <w:rFonts w:ascii="Arial" w:eastAsia="標楷體" w:hAnsi="標楷體" w:cs="Arial"/>
          <w:sz w:val="40"/>
          <w:szCs w:val="40"/>
        </w:rPr>
        <w:t>陸、投資循環：</w:t>
      </w:r>
      <w:r>
        <w:rPr>
          <w:rFonts w:ascii="Arial" w:eastAsia="標楷體" w:hAnsi="Arial" w:cs="Arial"/>
          <w:sz w:val="40"/>
          <w:szCs w:val="40"/>
        </w:rPr>
        <w:t>CI-10000</w:t>
      </w:r>
    </w:p>
    <w:p w:rsidR="00853C1E" w:rsidRDefault="00853C1E">
      <w:pPr>
        <w:spacing w:line="400" w:lineRule="exact"/>
        <w:jc w:val="center"/>
        <w:rPr>
          <w:rFonts w:ascii="Arial" w:eastAsia="標楷體" w:hAnsi="Arial" w:cs="Arial"/>
          <w:sz w:val="40"/>
          <w:szCs w:val="40"/>
        </w:rPr>
        <w:sectPr w:rsidR="00853C1E">
          <w:headerReference w:type="default" r:id="rId8"/>
          <w:footerReference w:type="even" r:id="rId9"/>
          <w:footerReference w:type="default" r:id="rId10"/>
          <w:pgSz w:w="16840" w:h="11907" w:orient="landscape" w:code="9"/>
          <w:pgMar w:top="1418" w:right="851" w:bottom="1418" w:left="851" w:header="851" w:footer="680" w:gutter="0"/>
          <w:cols w:space="425"/>
          <w:docGrid w:type="lines" w:linePitch="360"/>
        </w:sect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853C1E">
        <w:trPr>
          <w:cantSplit/>
          <w:trHeight w:val="567"/>
          <w:jc w:val="center"/>
        </w:trPr>
        <w:tc>
          <w:tcPr>
            <w:tcW w:w="14175" w:type="dxa"/>
            <w:vAlign w:val="center"/>
          </w:tcPr>
          <w:p w:rsidR="00853C1E" w:rsidRDefault="00853C1E">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853C1E" w:rsidRDefault="00853C1E">
      <w:pPr>
        <w:spacing w:line="400" w:lineRule="exact"/>
        <w:jc w:val="center"/>
        <w:rPr>
          <w:rFonts w:ascii="Arial" w:eastAsia="標楷體" w:hAnsi="Arial" w:cs="Arial" w:hint="eastAsia"/>
          <w:sz w:val="40"/>
          <w:szCs w:val="40"/>
        </w:rPr>
      </w:pPr>
    </w:p>
    <w:p w:rsidR="00853C1E" w:rsidRDefault="00853C1E">
      <w:pPr>
        <w:pStyle w:val="11"/>
        <w:ind w:left="720"/>
        <w:rPr>
          <w:rFonts w:ascii="Times New Roman" w:eastAsia="新細明體" w:hAnsi="Times New Roman"/>
          <w:noProof/>
          <w:sz w:val="24"/>
          <w:szCs w:val="24"/>
        </w:rPr>
      </w:pPr>
      <w:r>
        <w:rPr>
          <w:rFonts w:cs="Arial"/>
          <w:sz w:val="40"/>
          <w:szCs w:val="40"/>
        </w:rPr>
        <w:fldChar w:fldCharType="begin"/>
      </w:r>
      <w:r>
        <w:rPr>
          <w:rFonts w:cs="Arial"/>
          <w:sz w:val="40"/>
          <w:szCs w:val="40"/>
        </w:rPr>
        <w:instrText xml:space="preserve"> TOC \o "1-3" \h \z \u </w:instrText>
      </w:r>
      <w:r>
        <w:rPr>
          <w:rFonts w:cs="Arial"/>
          <w:sz w:val="40"/>
          <w:szCs w:val="40"/>
        </w:rPr>
        <w:fldChar w:fldCharType="separate"/>
      </w:r>
      <w:hyperlink w:anchor="_Toc196726899" w:history="1">
        <w:r>
          <w:rPr>
            <w:rStyle w:val="a9"/>
            <w:rFonts w:cs="Arial" w:hint="eastAsia"/>
            <w:noProof/>
            <w:color w:val="auto"/>
            <w:u w:val="none"/>
          </w:rPr>
          <w:t>一、</w:t>
        </w:r>
        <w:r>
          <w:rPr>
            <w:rFonts w:ascii="Times New Roman" w:eastAsia="新細明體" w:hAnsi="Times New Roman"/>
            <w:noProof/>
            <w:sz w:val="24"/>
            <w:szCs w:val="24"/>
          </w:rPr>
          <w:tab/>
        </w:r>
        <w:r>
          <w:rPr>
            <w:rStyle w:val="a9"/>
            <w:rFonts w:cs="Arial" w:hint="eastAsia"/>
            <w:noProof/>
            <w:color w:val="auto"/>
            <w:u w:val="none"/>
          </w:rPr>
          <w:t>投資決策作業：</w:t>
        </w:r>
        <w:r>
          <w:rPr>
            <w:rStyle w:val="a9"/>
            <w:rFonts w:cs="Arial"/>
            <w:noProof/>
            <w:color w:val="auto"/>
            <w:u w:val="none"/>
          </w:rPr>
          <w:t>CI-10100</w:t>
        </w:r>
        <w:r>
          <w:rPr>
            <w:noProof/>
            <w:webHidden/>
          </w:rPr>
          <w:tab/>
        </w:r>
        <w:r>
          <w:rPr>
            <w:noProof/>
            <w:webHidden/>
          </w:rPr>
          <w:fldChar w:fldCharType="begin"/>
        </w:r>
        <w:r>
          <w:rPr>
            <w:noProof/>
            <w:webHidden/>
          </w:rPr>
          <w:instrText xml:space="preserve"> PAGEREF _Toc196726899 \h </w:instrText>
        </w:r>
        <w:r>
          <w:rPr>
            <w:noProof/>
          </w:rPr>
        </w:r>
        <w:r>
          <w:rPr>
            <w:noProof/>
            <w:webHidden/>
          </w:rPr>
          <w:fldChar w:fldCharType="separate"/>
        </w:r>
        <w:r w:rsidR="009C4674">
          <w:rPr>
            <w:noProof/>
            <w:webHidden/>
          </w:rPr>
          <w:t>3</w:t>
        </w:r>
        <w:r>
          <w:rPr>
            <w:noProof/>
            <w:webHidden/>
          </w:rPr>
          <w:fldChar w:fldCharType="end"/>
        </w:r>
      </w:hyperlink>
    </w:p>
    <w:p w:rsidR="00853C1E" w:rsidRDefault="00853C1E">
      <w:pPr>
        <w:pStyle w:val="11"/>
        <w:ind w:left="720"/>
        <w:rPr>
          <w:rFonts w:ascii="Times New Roman" w:eastAsia="新細明體" w:hAnsi="Times New Roman"/>
          <w:noProof/>
          <w:sz w:val="24"/>
          <w:szCs w:val="24"/>
        </w:rPr>
      </w:pPr>
      <w:hyperlink w:anchor="_Toc196726900" w:history="1">
        <w:r>
          <w:rPr>
            <w:rStyle w:val="a9"/>
            <w:rFonts w:cs="Arial" w:hint="eastAsia"/>
            <w:noProof/>
            <w:color w:val="auto"/>
            <w:u w:val="none"/>
          </w:rPr>
          <w:t>二、</w:t>
        </w:r>
        <w:r>
          <w:rPr>
            <w:rFonts w:ascii="Times New Roman" w:eastAsia="新細明體" w:hAnsi="Times New Roman"/>
            <w:noProof/>
            <w:sz w:val="24"/>
            <w:szCs w:val="24"/>
          </w:rPr>
          <w:tab/>
        </w:r>
        <w:r>
          <w:rPr>
            <w:rStyle w:val="a9"/>
            <w:rFonts w:cs="Arial" w:hint="eastAsia"/>
            <w:noProof/>
            <w:color w:val="auto"/>
            <w:u w:val="none"/>
          </w:rPr>
          <w:t>投資取得與處分作業：</w:t>
        </w:r>
        <w:r>
          <w:rPr>
            <w:rStyle w:val="a9"/>
            <w:rFonts w:cs="Arial"/>
            <w:noProof/>
            <w:color w:val="auto"/>
            <w:u w:val="none"/>
          </w:rPr>
          <w:t>CI-10200</w:t>
        </w:r>
        <w:r>
          <w:rPr>
            <w:noProof/>
            <w:webHidden/>
          </w:rPr>
          <w:tab/>
        </w:r>
        <w:r>
          <w:rPr>
            <w:noProof/>
            <w:webHidden/>
          </w:rPr>
          <w:fldChar w:fldCharType="begin"/>
        </w:r>
        <w:r>
          <w:rPr>
            <w:noProof/>
            <w:webHidden/>
          </w:rPr>
          <w:instrText xml:space="preserve"> PAGEREF _Toc196726900 \h </w:instrText>
        </w:r>
        <w:r>
          <w:rPr>
            <w:noProof/>
          </w:rPr>
        </w:r>
        <w:r>
          <w:rPr>
            <w:noProof/>
            <w:webHidden/>
          </w:rPr>
          <w:fldChar w:fldCharType="separate"/>
        </w:r>
        <w:r w:rsidR="009C4674">
          <w:rPr>
            <w:noProof/>
            <w:webHidden/>
          </w:rPr>
          <w:t>9</w:t>
        </w:r>
        <w:r>
          <w:rPr>
            <w:noProof/>
            <w:webHidden/>
          </w:rPr>
          <w:fldChar w:fldCharType="end"/>
        </w:r>
      </w:hyperlink>
    </w:p>
    <w:p w:rsidR="00853C1E" w:rsidRDefault="00853C1E">
      <w:pPr>
        <w:pStyle w:val="11"/>
        <w:ind w:left="720"/>
        <w:rPr>
          <w:rFonts w:ascii="Times New Roman" w:eastAsia="新細明體" w:hAnsi="Times New Roman"/>
          <w:noProof/>
          <w:sz w:val="24"/>
          <w:szCs w:val="24"/>
        </w:rPr>
      </w:pPr>
      <w:hyperlink w:anchor="_Toc196726901" w:history="1">
        <w:r>
          <w:rPr>
            <w:rStyle w:val="a9"/>
            <w:rFonts w:cs="Arial" w:hint="eastAsia"/>
            <w:noProof/>
            <w:color w:val="auto"/>
            <w:u w:val="none"/>
          </w:rPr>
          <w:t>三、</w:t>
        </w:r>
        <w:r>
          <w:rPr>
            <w:rFonts w:ascii="Times New Roman" w:eastAsia="新細明體" w:hAnsi="Times New Roman"/>
            <w:noProof/>
            <w:sz w:val="24"/>
            <w:szCs w:val="24"/>
          </w:rPr>
          <w:tab/>
        </w:r>
        <w:r>
          <w:rPr>
            <w:rStyle w:val="a9"/>
            <w:rFonts w:cs="Arial" w:hint="eastAsia"/>
            <w:noProof/>
            <w:color w:val="auto"/>
            <w:u w:val="none"/>
          </w:rPr>
          <w:t>投資保管及盤點作業：</w:t>
        </w:r>
        <w:r>
          <w:rPr>
            <w:rStyle w:val="a9"/>
            <w:rFonts w:cs="Arial"/>
            <w:noProof/>
            <w:color w:val="auto"/>
            <w:u w:val="none"/>
          </w:rPr>
          <w:t>CI-10300</w:t>
        </w:r>
        <w:r>
          <w:rPr>
            <w:noProof/>
            <w:webHidden/>
          </w:rPr>
          <w:tab/>
        </w:r>
        <w:r>
          <w:rPr>
            <w:noProof/>
            <w:webHidden/>
          </w:rPr>
          <w:fldChar w:fldCharType="begin"/>
        </w:r>
        <w:r>
          <w:rPr>
            <w:noProof/>
            <w:webHidden/>
          </w:rPr>
          <w:instrText xml:space="preserve"> PAGEREF _Toc196726901 \h </w:instrText>
        </w:r>
        <w:r>
          <w:rPr>
            <w:noProof/>
          </w:rPr>
        </w:r>
        <w:r>
          <w:rPr>
            <w:noProof/>
            <w:webHidden/>
          </w:rPr>
          <w:fldChar w:fldCharType="separate"/>
        </w:r>
        <w:r w:rsidR="009C4674">
          <w:rPr>
            <w:noProof/>
            <w:webHidden/>
          </w:rPr>
          <w:t>13</w:t>
        </w:r>
        <w:r>
          <w:rPr>
            <w:noProof/>
            <w:webHidden/>
          </w:rPr>
          <w:fldChar w:fldCharType="end"/>
        </w:r>
      </w:hyperlink>
    </w:p>
    <w:p w:rsidR="00853C1E" w:rsidRDefault="00853C1E">
      <w:pPr>
        <w:pStyle w:val="11"/>
        <w:ind w:left="720"/>
        <w:rPr>
          <w:rFonts w:ascii="Times New Roman" w:eastAsia="新細明體" w:hAnsi="Times New Roman"/>
          <w:noProof/>
          <w:sz w:val="24"/>
          <w:szCs w:val="24"/>
        </w:rPr>
      </w:pPr>
      <w:hyperlink w:anchor="_Toc196726902" w:history="1">
        <w:r>
          <w:rPr>
            <w:rStyle w:val="a9"/>
            <w:rFonts w:cs="Arial" w:hint="eastAsia"/>
            <w:noProof/>
            <w:color w:val="auto"/>
            <w:u w:val="none"/>
          </w:rPr>
          <w:t>四、</w:t>
        </w:r>
        <w:r>
          <w:rPr>
            <w:rFonts w:ascii="Times New Roman" w:eastAsia="新細明體" w:hAnsi="Times New Roman"/>
            <w:noProof/>
            <w:sz w:val="24"/>
            <w:szCs w:val="24"/>
          </w:rPr>
          <w:tab/>
        </w:r>
        <w:r>
          <w:rPr>
            <w:rStyle w:val="a9"/>
            <w:rFonts w:cs="Arial" w:hint="eastAsia"/>
            <w:noProof/>
            <w:color w:val="auto"/>
            <w:u w:val="none"/>
          </w:rPr>
          <w:t>投資帳務處理作業：</w:t>
        </w:r>
        <w:r>
          <w:rPr>
            <w:rStyle w:val="a9"/>
            <w:rFonts w:cs="Arial"/>
            <w:noProof/>
            <w:color w:val="auto"/>
            <w:u w:val="none"/>
          </w:rPr>
          <w:t>CI-10400</w:t>
        </w:r>
        <w:r>
          <w:rPr>
            <w:noProof/>
            <w:webHidden/>
          </w:rPr>
          <w:tab/>
        </w:r>
        <w:r>
          <w:rPr>
            <w:noProof/>
            <w:webHidden/>
          </w:rPr>
          <w:fldChar w:fldCharType="begin"/>
        </w:r>
        <w:r>
          <w:rPr>
            <w:noProof/>
            <w:webHidden/>
          </w:rPr>
          <w:instrText xml:space="preserve"> PAGEREF _Toc196726902 \h </w:instrText>
        </w:r>
        <w:r>
          <w:rPr>
            <w:noProof/>
          </w:rPr>
        </w:r>
        <w:r>
          <w:rPr>
            <w:noProof/>
            <w:webHidden/>
          </w:rPr>
          <w:fldChar w:fldCharType="separate"/>
        </w:r>
        <w:r w:rsidR="009C4674">
          <w:rPr>
            <w:noProof/>
            <w:webHidden/>
          </w:rPr>
          <w:t>17</w:t>
        </w:r>
        <w:r>
          <w:rPr>
            <w:noProof/>
            <w:webHidden/>
          </w:rPr>
          <w:fldChar w:fldCharType="end"/>
        </w:r>
      </w:hyperlink>
    </w:p>
    <w:p w:rsidR="00853C1E" w:rsidRDefault="00853C1E">
      <w:pPr>
        <w:spacing w:line="400" w:lineRule="exact"/>
        <w:jc w:val="center"/>
        <w:rPr>
          <w:rFonts w:ascii="Arial" w:eastAsia="標楷體" w:hAnsi="Arial" w:cs="Arial" w:hint="eastAsia"/>
          <w:sz w:val="40"/>
          <w:szCs w:val="40"/>
        </w:rPr>
      </w:pPr>
      <w:r>
        <w:rPr>
          <w:rFonts w:ascii="Arial" w:eastAsia="標楷體" w:hAnsi="Arial" w:cs="Arial"/>
          <w:sz w:val="40"/>
          <w:szCs w:val="40"/>
        </w:rPr>
        <w:fldChar w:fldCharType="end"/>
      </w:r>
    </w:p>
    <w:p w:rsidR="00853C1E" w:rsidRDefault="00853C1E">
      <w:pPr>
        <w:spacing w:line="400" w:lineRule="exact"/>
        <w:jc w:val="center"/>
        <w:rPr>
          <w:rFonts w:ascii="Arial" w:eastAsia="標楷體" w:hAnsi="Arial" w:cs="Arial"/>
          <w:sz w:val="40"/>
          <w:szCs w:val="40"/>
        </w:rPr>
        <w:sectPr w:rsidR="00853C1E">
          <w:pgSz w:w="16840" w:h="11907" w:orient="landscape" w:code="9"/>
          <w:pgMar w:top="1418" w:right="851" w:bottom="1418" w:left="851" w:header="851" w:footer="680" w:gutter="0"/>
          <w:cols w:space="425"/>
          <w:docGrid w:type="lines" w:linePitch="360"/>
        </w:sect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spacing w:line="400" w:lineRule="exact"/>
        <w:jc w:val="center"/>
        <w:rPr>
          <w:rFonts w:ascii="Arial" w:eastAsia="標楷體" w:hAnsi="Arial" w:cs="Arial" w:hint="eastAsia"/>
          <w:sz w:val="40"/>
          <w:szCs w:val="40"/>
        </w:rPr>
      </w:pPr>
    </w:p>
    <w:p w:rsidR="00853C1E" w:rsidRDefault="00853C1E">
      <w:pPr>
        <w:pStyle w:val="10"/>
        <w:numPr>
          <w:ilvl w:val="0"/>
          <w:numId w:val="1"/>
        </w:numPr>
        <w:tabs>
          <w:tab w:val="left" w:pos="1080"/>
        </w:tabs>
        <w:spacing w:before="0" w:after="0" w:line="400" w:lineRule="exact"/>
        <w:jc w:val="center"/>
        <w:rPr>
          <w:rFonts w:eastAsia="標楷體" w:cs="Arial"/>
          <w:b w:val="0"/>
          <w:sz w:val="40"/>
          <w:szCs w:val="40"/>
        </w:rPr>
      </w:pPr>
      <w:bookmarkStart w:id="1" w:name="_Toc196726899"/>
      <w:r>
        <w:rPr>
          <w:rFonts w:eastAsia="標楷體" w:cs="Arial"/>
          <w:b w:val="0"/>
          <w:sz w:val="40"/>
          <w:szCs w:val="40"/>
        </w:rPr>
        <w:t>投資決策作業：</w:t>
      </w:r>
      <w:r>
        <w:rPr>
          <w:rFonts w:eastAsia="標楷體" w:cs="Arial"/>
          <w:b w:val="0"/>
          <w:sz w:val="40"/>
          <w:szCs w:val="40"/>
        </w:rPr>
        <w:t>CI-10100</w:t>
      </w:r>
      <w:bookmarkEnd w:id="1"/>
    </w:p>
    <w:p w:rsidR="00853C1E" w:rsidRDefault="00853C1E">
      <w:pPr>
        <w:spacing w:line="400" w:lineRule="exact"/>
        <w:jc w:val="center"/>
        <w:rPr>
          <w:rFonts w:ascii="Arial" w:eastAsia="標楷體" w:hAnsi="Arial" w:cs="Arial"/>
          <w:b/>
          <w:sz w:val="40"/>
          <w:szCs w:val="40"/>
        </w:rPr>
      </w:pPr>
    </w:p>
    <w:p w:rsidR="00853C1E" w:rsidRDefault="00853C1E">
      <w:pPr>
        <w:spacing w:line="400" w:lineRule="exact"/>
        <w:jc w:val="center"/>
        <w:rPr>
          <w:rFonts w:ascii="Arial" w:eastAsia="標楷體" w:hAnsi="Arial" w:cs="Arial"/>
          <w:b/>
          <w:sz w:val="40"/>
          <w:szCs w:val="40"/>
        </w:rPr>
      </w:pPr>
    </w:p>
    <w:p w:rsidR="00853C1E" w:rsidRDefault="00853C1E">
      <w:pPr>
        <w:spacing w:line="400" w:lineRule="exact"/>
        <w:jc w:val="center"/>
        <w:rPr>
          <w:rFonts w:ascii="Arial" w:eastAsia="標楷體" w:hAnsi="Arial" w:cs="Arial"/>
          <w:b/>
          <w:sz w:val="40"/>
          <w:szCs w:val="40"/>
        </w:rPr>
      </w:pPr>
    </w:p>
    <w:p w:rsidR="00853C1E" w:rsidRDefault="00853C1E">
      <w:pPr>
        <w:spacing w:line="400" w:lineRule="exact"/>
        <w:jc w:val="center"/>
        <w:rPr>
          <w:rFonts w:ascii="Arial" w:eastAsia="標楷體" w:hAnsi="Arial" w:cs="Arial"/>
          <w:b/>
          <w:sz w:val="40"/>
          <w:szCs w:val="40"/>
        </w:rPr>
      </w:pPr>
    </w:p>
    <w:p w:rsidR="00853C1E" w:rsidRDefault="00853C1E">
      <w:pPr>
        <w:spacing w:line="400" w:lineRule="exact"/>
        <w:jc w:val="center"/>
        <w:rPr>
          <w:rFonts w:ascii="Arial" w:eastAsia="標楷體" w:hAnsi="Arial" w:cs="Arial" w:hint="eastAsia"/>
          <w:b/>
          <w:sz w:val="40"/>
          <w:szCs w:val="40"/>
        </w:rPr>
      </w:pPr>
    </w:p>
    <w:p w:rsidR="00853C1E" w:rsidRDefault="00853C1E">
      <w:pPr>
        <w:spacing w:line="400" w:lineRule="exact"/>
        <w:jc w:val="center"/>
        <w:rPr>
          <w:rFonts w:ascii="Arial" w:eastAsia="標楷體" w:hAnsi="Arial" w:cs="Arial" w:hint="eastAsia"/>
          <w:b/>
          <w:sz w:val="40"/>
          <w:szCs w:val="40"/>
        </w:rPr>
      </w:pPr>
    </w:p>
    <w:p w:rsidR="00853C1E" w:rsidRDefault="00853C1E">
      <w:pPr>
        <w:spacing w:line="400" w:lineRule="exact"/>
        <w:jc w:val="center"/>
        <w:rPr>
          <w:rFonts w:ascii="Arial" w:eastAsia="標楷體" w:hAnsi="Arial" w:cs="Arial" w:hint="eastAsia"/>
          <w:b/>
          <w:sz w:val="40"/>
          <w:szCs w:val="40"/>
        </w:rPr>
      </w:pPr>
    </w:p>
    <w:p w:rsidR="00853C1E" w:rsidRDefault="00853C1E">
      <w:pPr>
        <w:spacing w:line="400" w:lineRule="exact"/>
        <w:jc w:val="center"/>
        <w:rPr>
          <w:rFonts w:ascii="Arial" w:eastAsia="標楷體" w:hAnsi="Arial" w:cs="Arial" w:hint="eastAsia"/>
          <w:b/>
          <w:sz w:val="40"/>
          <w:szCs w:val="40"/>
        </w:rPr>
      </w:pPr>
    </w:p>
    <w:p w:rsidR="00853C1E" w:rsidRDefault="00853C1E">
      <w:pPr>
        <w:spacing w:line="400" w:lineRule="exact"/>
        <w:jc w:val="center"/>
        <w:rPr>
          <w:rFonts w:ascii="Arial" w:eastAsia="標楷體" w:hAnsi="Arial" w:cs="Arial"/>
          <w:b/>
          <w:sz w:val="40"/>
          <w:szCs w:val="40"/>
        </w:rPr>
      </w:pPr>
    </w:p>
    <w:p w:rsidR="00853C1E" w:rsidRDefault="00853C1E">
      <w:pPr>
        <w:spacing w:line="400" w:lineRule="exact"/>
        <w:jc w:val="center"/>
        <w:rPr>
          <w:rFonts w:ascii="Arial" w:eastAsia="標楷體" w:hAnsi="Arial" w:cs="Arial"/>
          <w:b/>
          <w:sz w:val="40"/>
          <w:szCs w:val="40"/>
        </w:rPr>
      </w:pPr>
    </w:p>
    <w:p w:rsidR="00853C1E" w:rsidRDefault="00853C1E">
      <w:pPr>
        <w:spacing w:line="400" w:lineRule="exact"/>
        <w:jc w:val="center"/>
        <w:rPr>
          <w:rFonts w:ascii="Arial" w:eastAsia="標楷體" w:hAnsi="Arial" w:cs="Arial"/>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480"/>
        <w:gridCol w:w="2400"/>
      </w:tblGrid>
      <w:tr w:rsidR="00853C1E">
        <w:tblPrEx>
          <w:tblCellMar>
            <w:top w:w="0" w:type="dxa"/>
            <w:bottom w:w="0" w:type="dxa"/>
          </w:tblCellMar>
        </w:tblPrEx>
        <w:trPr>
          <w:tblHeader/>
        </w:trPr>
        <w:tc>
          <w:tcPr>
            <w:tcW w:w="1468"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48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853C1E" w:rsidRDefault="00853C1E">
            <w:pPr>
              <w:spacing w:line="400" w:lineRule="exact"/>
              <w:ind w:left="28" w:right="28"/>
              <w:jc w:val="center"/>
              <w:rPr>
                <w:rFonts w:ascii="Arial" w:eastAsia="標楷體" w:hAnsi="Arial" w:cs="Arial"/>
                <w:szCs w:val="24"/>
              </w:rPr>
            </w:pPr>
            <w:bookmarkStart w:id="2" w:name="OLE_LINK1"/>
            <w:r>
              <w:rPr>
                <w:rFonts w:ascii="Arial" w:eastAsia="標楷體" w:hAnsi="標楷體" w:cs="Arial"/>
                <w:szCs w:val="24"/>
              </w:rPr>
              <w:t>依據資料</w:t>
            </w:r>
            <w:bookmarkEnd w:id="2"/>
          </w:p>
        </w:tc>
      </w:tr>
      <w:tr w:rsidR="00853C1E">
        <w:tblPrEx>
          <w:tblCellMar>
            <w:top w:w="0" w:type="dxa"/>
            <w:bottom w:w="0" w:type="dxa"/>
          </w:tblCellMar>
        </w:tblPrEx>
        <w:tc>
          <w:tcPr>
            <w:tcW w:w="1468" w:type="dxa"/>
            <w:tcMar>
              <w:left w:w="57" w:type="dxa"/>
              <w:right w:w="57" w:type="dxa"/>
            </w:tcMar>
          </w:tcPr>
          <w:p w:rsidR="00853C1E" w:rsidRDefault="00853C1E">
            <w:pPr>
              <w:spacing w:line="400" w:lineRule="exact"/>
              <w:jc w:val="center"/>
              <w:rPr>
                <w:rFonts w:ascii="Arial" w:eastAsia="標楷體" w:hAnsi="Arial" w:cs="Arial"/>
                <w:szCs w:val="24"/>
              </w:rPr>
            </w:pPr>
            <w:r>
              <w:rPr>
                <w:rFonts w:ascii="Arial" w:eastAsia="標楷體" w:hAnsi="Arial" w:cs="Arial"/>
                <w:szCs w:val="24"/>
              </w:rPr>
              <w:t>CI-10100</w:t>
            </w:r>
          </w:p>
          <w:p w:rsidR="00853C1E" w:rsidRDefault="00853C1E">
            <w:pPr>
              <w:spacing w:line="400" w:lineRule="exact"/>
              <w:jc w:val="center"/>
              <w:rPr>
                <w:rFonts w:ascii="Arial" w:eastAsia="標楷體" w:hAnsi="Arial" w:cs="Arial"/>
                <w:szCs w:val="24"/>
              </w:rPr>
            </w:pPr>
          </w:p>
        </w:tc>
        <w:tc>
          <w:tcPr>
            <w:tcW w:w="1800" w:type="dxa"/>
            <w:tcMar>
              <w:left w:w="57" w:type="dxa"/>
              <w:right w:w="57" w:type="dxa"/>
            </w:tcMar>
          </w:tcPr>
          <w:p w:rsidR="00853C1E" w:rsidRDefault="00853C1E">
            <w:pPr>
              <w:spacing w:line="400" w:lineRule="exact"/>
              <w:ind w:left="28" w:right="28"/>
              <w:rPr>
                <w:rFonts w:ascii="Arial" w:eastAsia="標楷體" w:hAnsi="Arial" w:cs="Arial"/>
                <w:szCs w:val="24"/>
              </w:rPr>
            </w:pPr>
            <w:r>
              <w:rPr>
                <w:rFonts w:ascii="Arial" w:eastAsia="標楷體" w:hAnsi="標楷體" w:cs="Arial"/>
                <w:szCs w:val="24"/>
              </w:rPr>
              <w:t>投資決策作業</w:t>
            </w:r>
          </w:p>
          <w:p w:rsidR="00853C1E" w:rsidRDefault="00853C1E">
            <w:pPr>
              <w:spacing w:line="400" w:lineRule="exact"/>
              <w:ind w:left="28" w:right="28"/>
              <w:rPr>
                <w:rFonts w:ascii="Arial" w:eastAsia="標楷體" w:hAnsi="Arial" w:cs="Arial"/>
                <w:szCs w:val="24"/>
              </w:rPr>
            </w:pPr>
          </w:p>
        </w:tc>
        <w:tc>
          <w:tcPr>
            <w:tcW w:w="9480" w:type="dxa"/>
            <w:tcMar>
              <w:left w:w="57" w:type="dxa"/>
              <w:right w:w="57" w:type="dxa"/>
            </w:tcMar>
          </w:tcPr>
          <w:p w:rsidR="00853C1E" w:rsidRDefault="00853C1E">
            <w:pPr>
              <w:pStyle w:val="1"/>
              <w:numPr>
                <w:ilvl w:val="0"/>
                <w:numId w:val="4"/>
              </w:numPr>
              <w:spacing w:line="400" w:lineRule="exact"/>
              <w:rPr>
                <w:rFonts w:ascii="Arial" w:hAnsi="Arial" w:cs="Arial"/>
                <w:szCs w:val="24"/>
              </w:rPr>
            </w:pPr>
            <w:r>
              <w:rPr>
                <w:rFonts w:ascii="Arial" w:cs="Arial"/>
                <w:szCs w:val="24"/>
              </w:rPr>
              <w:t>作業程序：</w:t>
            </w:r>
          </w:p>
          <w:p w:rsidR="00853C1E" w:rsidRDefault="00853C1E">
            <w:pPr>
              <w:numPr>
                <w:ilvl w:val="1"/>
                <w:numId w:val="4"/>
              </w:numPr>
              <w:spacing w:line="400" w:lineRule="exact"/>
              <w:rPr>
                <w:rFonts w:ascii="Arial" w:eastAsia="標楷體" w:hAnsi="Arial" w:cs="Arial"/>
                <w:szCs w:val="24"/>
              </w:rPr>
            </w:pPr>
            <w:r>
              <w:rPr>
                <w:rFonts w:ascii="Arial" w:eastAsia="標楷體" w:hAnsi="標楷體" w:cs="Arial"/>
                <w:szCs w:val="24"/>
              </w:rPr>
              <w:t>財務</w:t>
            </w:r>
            <w:r>
              <w:rPr>
                <w:rFonts w:ascii="Arial" w:eastAsia="標楷體" w:hAnsi="標楷體" w:cs="Arial" w:hint="eastAsia"/>
                <w:szCs w:val="24"/>
              </w:rPr>
              <w:t>單位承辦人員於公司有投資需求時應</w:t>
            </w:r>
            <w:r>
              <w:rPr>
                <w:rFonts w:ascii="Arial" w:eastAsia="標楷體" w:hAnsi="標楷體" w:cs="Arial"/>
                <w:szCs w:val="24"/>
              </w:rPr>
              <w:t>評估投資之需求及可能性，並提出投資</w:t>
            </w:r>
            <w:r>
              <w:rPr>
                <w:rFonts w:ascii="Arial" w:eastAsia="標楷體" w:hAnsi="標楷體" w:cs="Arial" w:hint="eastAsia"/>
                <w:szCs w:val="24"/>
              </w:rPr>
              <w:t>需求</w:t>
            </w:r>
            <w:r>
              <w:rPr>
                <w:rFonts w:ascii="Arial" w:eastAsia="標楷體" w:hAnsi="標楷體" w:cs="Arial"/>
                <w:szCs w:val="24"/>
              </w:rPr>
              <w:t>申請，並註明投資目的</w:t>
            </w:r>
            <w:r>
              <w:rPr>
                <w:rFonts w:ascii="Arial" w:eastAsia="標楷體" w:hAnsi="標楷體" w:cs="Arial" w:hint="eastAsia"/>
                <w:szCs w:val="24"/>
              </w:rPr>
              <w:t>及投資之相關標的物</w:t>
            </w:r>
            <w:r>
              <w:rPr>
                <w:rFonts w:ascii="Arial" w:eastAsia="標楷體" w:hAnsi="標楷體" w:cs="Arial"/>
                <w:szCs w:val="24"/>
              </w:rPr>
              <w:t>，必要時，應檢附詳細之投資計畫。</w:t>
            </w:r>
          </w:p>
          <w:p w:rsidR="00853C1E" w:rsidRDefault="00853C1E">
            <w:pPr>
              <w:numPr>
                <w:ilvl w:val="0"/>
                <w:numId w:val="17"/>
              </w:numPr>
              <w:tabs>
                <w:tab w:val="clear" w:pos="908"/>
                <w:tab w:val="num" w:pos="1483"/>
              </w:tabs>
              <w:spacing w:line="400" w:lineRule="exact"/>
              <w:ind w:left="1483" w:hanging="240"/>
              <w:rPr>
                <w:rFonts w:ascii="Arial" w:eastAsia="標楷體" w:hAnsi="Arial" w:cs="Arial"/>
                <w:szCs w:val="24"/>
              </w:rPr>
            </w:pPr>
            <w:r>
              <w:rPr>
                <w:rFonts w:ascii="Arial" w:eastAsia="標楷體" w:hAnsi="標楷體" w:cs="Arial"/>
                <w:szCs w:val="24"/>
              </w:rPr>
              <w:t>本公司可從事之投資項</w:t>
            </w:r>
            <w:r>
              <w:rPr>
                <w:rFonts w:ascii="Arial" w:eastAsia="標楷體" w:hAnsi="標楷體" w:cs="Arial" w:hint="eastAsia"/>
                <w:szCs w:val="24"/>
              </w:rPr>
              <w:t>目應</w:t>
            </w:r>
            <w:r>
              <w:rPr>
                <w:rFonts w:ascii="Arial" w:eastAsia="標楷體" w:hAnsi="標楷體" w:cs="Arial"/>
                <w:szCs w:val="24"/>
              </w:rPr>
              <w:t>依照期貨信託事業管理規則第十九條之規定，</w:t>
            </w:r>
            <w:r>
              <w:rPr>
                <w:rFonts w:ascii="Arial" w:eastAsia="標楷體" w:hAnsi="標楷體" w:cs="Arial" w:hint="eastAsia"/>
                <w:szCs w:val="24"/>
              </w:rPr>
              <w:t>公司</w:t>
            </w:r>
            <w:r>
              <w:rPr>
                <w:rFonts w:ascii="Arial" w:eastAsia="標楷體" w:hAnsi="標楷體" w:cs="Arial"/>
                <w:szCs w:val="24"/>
              </w:rPr>
              <w:t>之資金，不得貸與他人、購置非營業用之不動產或移作他項用途。非屬經營業務所需者，資金之運用以下為限：</w:t>
            </w:r>
          </w:p>
          <w:p w:rsidR="00853C1E" w:rsidRDefault="00853C1E">
            <w:pPr>
              <w:numPr>
                <w:ilvl w:val="1"/>
                <w:numId w:val="17"/>
              </w:numPr>
              <w:tabs>
                <w:tab w:val="clear" w:pos="1464"/>
                <w:tab w:val="num" w:pos="1963"/>
              </w:tabs>
              <w:spacing w:line="400" w:lineRule="exact"/>
              <w:ind w:left="1963" w:hanging="480"/>
              <w:rPr>
                <w:rFonts w:ascii="Arial" w:eastAsia="標楷體" w:hAnsi="標楷體" w:cs="Arial"/>
                <w:szCs w:val="24"/>
              </w:rPr>
            </w:pPr>
            <w:r>
              <w:rPr>
                <w:rFonts w:ascii="Arial" w:eastAsia="標楷體" w:hAnsi="標楷體" w:cs="Arial"/>
                <w:szCs w:val="24"/>
              </w:rPr>
              <w:t>國內之銀行存款。</w:t>
            </w:r>
          </w:p>
          <w:p w:rsidR="00853C1E" w:rsidRDefault="00853C1E">
            <w:pPr>
              <w:numPr>
                <w:ilvl w:val="1"/>
                <w:numId w:val="17"/>
              </w:numPr>
              <w:tabs>
                <w:tab w:val="clear" w:pos="1464"/>
                <w:tab w:val="num" w:pos="1963"/>
              </w:tabs>
              <w:spacing w:line="400" w:lineRule="exact"/>
              <w:ind w:left="1963" w:hanging="480"/>
              <w:rPr>
                <w:rFonts w:ascii="Arial" w:eastAsia="標楷體" w:hAnsi="標楷體" w:cs="Arial"/>
                <w:szCs w:val="24"/>
              </w:rPr>
            </w:pPr>
            <w:r>
              <w:rPr>
                <w:rFonts w:ascii="Arial" w:eastAsia="標楷體" w:hAnsi="標楷體" w:cs="Arial"/>
                <w:szCs w:val="24"/>
              </w:rPr>
              <w:t>國內政府公司債券或信用評等機構評等達一定等級以上之有價證券。</w:t>
            </w:r>
            <w:r>
              <w:rPr>
                <w:rFonts w:ascii="Arial" w:eastAsia="標楷體" w:hAnsi="標楷體" w:cs="Arial" w:hint="eastAsia"/>
                <w:szCs w:val="24"/>
              </w:rPr>
              <w:t>(97.1.11</w:t>
            </w:r>
            <w:r>
              <w:rPr>
                <w:rFonts w:ascii="Arial" w:eastAsia="標楷體" w:hAnsi="標楷體" w:cs="Arial"/>
                <w:szCs w:val="24"/>
              </w:rPr>
              <w:t>金管證七字第</w:t>
            </w:r>
            <w:r>
              <w:rPr>
                <w:rFonts w:ascii="Arial" w:eastAsia="標楷體" w:hAnsi="標楷體" w:cs="Arial"/>
                <w:szCs w:val="24"/>
              </w:rPr>
              <w:t>096007</w:t>
            </w:r>
            <w:r>
              <w:rPr>
                <w:rFonts w:ascii="Arial" w:eastAsia="標楷體" w:hAnsi="標楷體" w:cs="Arial" w:hint="eastAsia"/>
                <w:szCs w:val="24"/>
              </w:rPr>
              <w:t>15501</w:t>
            </w:r>
            <w:r>
              <w:rPr>
                <w:rFonts w:ascii="Arial" w:eastAsia="標楷體" w:hAnsi="標楷體" w:cs="Arial"/>
                <w:szCs w:val="24"/>
              </w:rPr>
              <w:t>號</w:t>
            </w:r>
            <w:r>
              <w:rPr>
                <w:rFonts w:ascii="Arial" w:eastAsia="標楷體" w:hAnsi="標楷體" w:cs="Arial" w:hint="eastAsia"/>
                <w:szCs w:val="24"/>
              </w:rPr>
              <w:t>令</w:t>
            </w:r>
            <w:r>
              <w:rPr>
                <w:rFonts w:ascii="Arial" w:eastAsia="標楷體" w:hAnsi="標楷體" w:cs="Arial" w:hint="eastAsia"/>
                <w:szCs w:val="24"/>
              </w:rPr>
              <w:t>)</w:t>
            </w:r>
          </w:p>
          <w:p w:rsidR="00853C1E" w:rsidRDefault="00853C1E">
            <w:pPr>
              <w:numPr>
                <w:ilvl w:val="1"/>
                <w:numId w:val="17"/>
              </w:numPr>
              <w:tabs>
                <w:tab w:val="clear" w:pos="1464"/>
                <w:tab w:val="num" w:pos="1963"/>
              </w:tabs>
              <w:spacing w:line="400" w:lineRule="exact"/>
              <w:ind w:left="1963" w:hanging="480"/>
              <w:rPr>
                <w:rFonts w:ascii="Arial" w:eastAsia="標楷體" w:hAnsi="標楷體" w:cs="Arial"/>
                <w:szCs w:val="24"/>
              </w:rPr>
            </w:pPr>
            <w:r>
              <w:rPr>
                <w:rFonts w:ascii="Arial" w:eastAsia="標楷體" w:hAnsi="標楷體" w:cs="Arial"/>
                <w:szCs w:val="24"/>
              </w:rPr>
              <w:t>購買國內之國庫券、可轉讓之銀行定存單、商業票據或其他短期票券。</w:t>
            </w:r>
          </w:p>
          <w:p w:rsidR="00853C1E" w:rsidRDefault="00853C1E">
            <w:pPr>
              <w:numPr>
                <w:ilvl w:val="1"/>
                <w:numId w:val="17"/>
              </w:numPr>
              <w:tabs>
                <w:tab w:val="clear" w:pos="1464"/>
                <w:tab w:val="num" w:pos="1963"/>
              </w:tabs>
              <w:spacing w:line="400" w:lineRule="exact"/>
              <w:ind w:left="1963" w:hanging="480"/>
              <w:rPr>
                <w:rFonts w:ascii="Arial" w:eastAsia="標楷體" w:hAnsi="標楷體" w:cs="Arial"/>
                <w:szCs w:val="24"/>
              </w:rPr>
            </w:pPr>
            <w:r>
              <w:rPr>
                <w:rFonts w:ascii="Arial" w:eastAsia="標楷體" w:hAnsi="標楷體" w:cs="Arial"/>
                <w:szCs w:val="24"/>
              </w:rPr>
              <w:t>符合主管機關規定及一定比率之期貨信託基金或證券投資信託基金受益憑證。</w:t>
            </w:r>
          </w:p>
          <w:p w:rsidR="00853C1E" w:rsidRDefault="00853C1E">
            <w:pPr>
              <w:spacing w:line="400" w:lineRule="exact"/>
              <w:ind w:left="1483"/>
              <w:rPr>
                <w:rFonts w:ascii="新細明體" w:hAnsi="新細明體" w:cs="新細明體" w:hint="eastAsia"/>
                <w:kern w:val="0"/>
                <w:sz w:val="19"/>
                <w:szCs w:val="19"/>
              </w:rPr>
            </w:pPr>
            <w:r>
              <w:rPr>
                <w:rFonts w:ascii="Arial" w:eastAsia="標楷體" w:hAnsi="標楷體" w:cs="Arial" w:hint="eastAsia"/>
                <w:szCs w:val="24"/>
              </w:rPr>
              <w:t xml:space="preserve">(5) </w:t>
            </w:r>
            <w:r>
              <w:rPr>
                <w:rFonts w:ascii="Arial" w:eastAsia="標楷體" w:hAnsi="標楷體" w:cs="Arial"/>
                <w:szCs w:val="24"/>
              </w:rPr>
              <w:t>其他經主管機關核准之用途。</w:t>
            </w:r>
          </w:p>
          <w:p w:rsidR="00853C1E" w:rsidRDefault="00853C1E">
            <w:pPr>
              <w:spacing w:line="400" w:lineRule="exact"/>
              <w:ind w:leftChars="560" w:left="1584" w:hangingChars="100" w:hanging="240"/>
              <w:rPr>
                <w:rFonts w:ascii="標楷體" w:eastAsia="標楷體" w:hAnsi="標楷體" w:cs="新細明體" w:hint="eastAsia"/>
                <w:kern w:val="0"/>
                <w:szCs w:val="19"/>
              </w:rPr>
            </w:pPr>
            <w:r>
              <w:rPr>
                <w:rFonts w:ascii="標楷體" w:eastAsia="標楷體" w:hAnsi="標楷體" w:cs="新細明體" w:hint="eastAsia"/>
                <w:kern w:val="0"/>
                <w:szCs w:val="19"/>
              </w:rPr>
              <w:t>2.</w:t>
            </w:r>
            <w:r>
              <w:rPr>
                <w:rFonts w:ascii="標楷體" w:eastAsia="標楷體" w:hAnsi="標楷體" w:cs="新細明體"/>
                <w:kern w:val="0"/>
                <w:szCs w:val="19"/>
              </w:rPr>
              <w:t>依據期貨信託事業管理規則第十九條第一項第四款及第五款，規定期貨信託事業得運用自有資金之用途如下</w:t>
            </w:r>
            <w:r>
              <w:rPr>
                <w:rFonts w:ascii="Arial" w:eastAsia="標楷體" w:hAnsi="標楷體" w:cs="Arial" w:hint="eastAsia"/>
                <w:szCs w:val="24"/>
              </w:rPr>
              <w:t>(97.1.11</w:t>
            </w:r>
            <w:r>
              <w:rPr>
                <w:rFonts w:ascii="Arial" w:eastAsia="標楷體" w:hAnsi="標楷體" w:cs="Arial"/>
                <w:szCs w:val="24"/>
              </w:rPr>
              <w:t>金管證七字第</w:t>
            </w:r>
            <w:r>
              <w:rPr>
                <w:rFonts w:ascii="Arial" w:eastAsia="標楷體" w:hAnsi="標楷體" w:cs="Arial"/>
                <w:szCs w:val="24"/>
              </w:rPr>
              <w:t>096007</w:t>
            </w:r>
            <w:r>
              <w:rPr>
                <w:rFonts w:ascii="Arial" w:eastAsia="標楷體" w:hAnsi="標楷體" w:cs="Arial" w:hint="eastAsia"/>
                <w:szCs w:val="24"/>
              </w:rPr>
              <w:t>15502</w:t>
            </w:r>
            <w:r>
              <w:rPr>
                <w:rFonts w:ascii="Arial" w:eastAsia="標楷體" w:hAnsi="標楷體" w:cs="Arial"/>
                <w:szCs w:val="24"/>
              </w:rPr>
              <w:t>號</w:t>
            </w:r>
            <w:r>
              <w:rPr>
                <w:rFonts w:ascii="Arial" w:eastAsia="標楷體" w:hAnsi="標楷體" w:cs="Arial" w:hint="eastAsia"/>
                <w:szCs w:val="24"/>
              </w:rPr>
              <w:t>令</w:t>
            </w:r>
            <w:r>
              <w:rPr>
                <w:rFonts w:ascii="Arial" w:eastAsia="標楷體" w:hAnsi="標楷體" w:cs="Arial" w:hint="eastAsia"/>
                <w:szCs w:val="24"/>
              </w:rPr>
              <w:t>)</w:t>
            </w:r>
            <w:r>
              <w:rPr>
                <w:rFonts w:ascii="Arial" w:eastAsia="標楷體" w:hAnsi="標楷體" w:cs="Arial" w:hint="eastAsia"/>
                <w:szCs w:val="24"/>
              </w:rPr>
              <w:t>：</w:t>
            </w:r>
            <w:r>
              <w:rPr>
                <w:rFonts w:ascii="Arial" w:eastAsia="標楷體" w:hAnsi="標楷體" w:cs="Arial"/>
                <w:szCs w:val="24"/>
              </w:rPr>
              <w:br/>
            </w:r>
            <w:r>
              <w:rPr>
                <w:rFonts w:ascii="標楷體" w:eastAsia="標楷體" w:hAnsi="標楷體" w:cs="新細明體" w:hint="eastAsia"/>
                <w:kern w:val="0"/>
                <w:szCs w:val="19"/>
              </w:rPr>
              <w:t>(1)</w:t>
            </w:r>
            <w:r>
              <w:rPr>
                <w:rFonts w:ascii="標楷體" w:eastAsia="標楷體" w:hAnsi="標楷體" w:cs="新細明體"/>
                <w:kern w:val="0"/>
                <w:szCs w:val="19"/>
              </w:rPr>
              <w:t>購買期貨信託基金、證券投資信託基金受益憑證及經本會核准或生效在</w:t>
            </w:r>
          </w:p>
          <w:p w:rsidR="00853C1E" w:rsidRDefault="00853C1E">
            <w:pPr>
              <w:spacing w:line="400" w:lineRule="exact"/>
              <w:ind w:leftChars="260" w:left="624" w:firstLineChars="500" w:firstLine="1200"/>
              <w:rPr>
                <w:rFonts w:ascii="標楷體" w:eastAsia="標楷體" w:hAnsi="標楷體" w:cs="新細明體" w:hint="eastAsia"/>
                <w:kern w:val="0"/>
                <w:szCs w:val="19"/>
              </w:rPr>
            </w:pPr>
            <w:r>
              <w:rPr>
                <w:rFonts w:ascii="標楷體" w:eastAsia="標楷體" w:hAnsi="標楷體" w:cs="新細明體" w:hint="eastAsia"/>
                <w:kern w:val="0"/>
                <w:szCs w:val="19"/>
              </w:rPr>
              <w:t xml:space="preserve"> </w:t>
            </w:r>
            <w:r>
              <w:rPr>
                <w:rFonts w:ascii="標楷體" w:eastAsia="標楷體" w:hAnsi="標楷體" w:cs="新細明體"/>
                <w:kern w:val="0"/>
                <w:szCs w:val="19"/>
              </w:rPr>
              <w:t>國內募集及銷售之境外基金（以下簡稱境外基金）之條件及一定比率如</w:t>
            </w:r>
          </w:p>
          <w:p w:rsidR="00853C1E" w:rsidRDefault="00853C1E">
            <w:pPr>
              <w:spacing w:line="400" w:lineRule="exact"/>
              <w:ind w:leftChars="825" w:left="1980"/>
              <w:rPr>
                <w:rFonts w:ascii="標楷體" w:eastAsia="標楷體" w:hAnsi="標楷體" w:cs="新細明體" w:hint="eastAsia"/>
                <w:kern w:val="0"/>
                <w:szCs w:val="19"/>
              </w:rPr>
            </w:pPr>
            <w:r>
              <w:rPr>
                <w:rFonts w:ascii="標楷體" w:eastAsia="標楷體" w:hAnsi="標楷體" w:cs="新細明體"/>
                <w:kern w:val="0"/>
                <w:szCs w:val="19"/>
              </w:rPr>
              <w:t>下：</w:t>
            </w:r>
            <w:r>
              <w:rPr>
                <w:rFonts w:ascii="標楷體" w:eastAsia="標楷體" w:hAnsi="標楷體" w:cs="新細明體"/>
                <w:kern w:val="0"/>
                <w:szCs w:val="19"/>
              </w:rPr>
              <w:br/>
            </w:r>
            <w:r>
              <w:rPr>
                <w:rFonts w:ascii="標楷體" w:eastAsia="標楷體" w:hAnsi="標楷體" w:cs="新細明體"/>
                <w:kern w:val="0"/>
                <w:szCs w:val="19"/>
              </w:rPr>
              <w:fldChar w:fldCharType="begin"/>
            </w:r>
            <w:r>
              <w:rPr>
                <w:rFonts w:ascii="標楷體" w:eastAsia="標楷體" w:hAnsi="標楷體" w:cs="新細明體"/>
                <w:kern w:val="0"/>
                <w:szCs w:val="19"/>
              </w:rPr>
              <w:instrText xml:space="preserve"> eq \o\ac(○,</w:instrText>
            </w:r>
            <w:r>
              <w:rPr>
                <w:rFonts w:ascii="標楷體" w:eastAsia="標楷體" w:hAnsi="標楷體" w:cs="新細明體"/>
                <w:kern w:val="0"/>
                <w:position w:val="3"/>
                <w:sz w:val="16"/>
                <w:szCs w:val="19"/>
              </w:rPr>
              <w:instrText>1</w:instrText>
            </w:r>
            <w:r>
              <w:rPr>
                <w:rFonts w:ascii="標楷體" w:eastAsia="標楷體" w:hAnsi="標楷體" w:cs="新細明體"/>
                <w:kern w:val="0"/>
                <w:szCs w:val="19"/>
              </w:rPr>
              <w:instrText>)</w:instrText>
            </w:r>
            <w:r>
              <w:rPr>
                <w:rFonts w:ascii="標楷體" w:eastAsia="標楷體" w:hAnsi="標楷體" w:cs="新細明體"/>
                <w:kern w:val="0"/>
                <w:szCs w:val="19"/>
              </w:rPr>
              <w:fldChar w:fldCharType="end"/>
            </w:r>
            <w:r>
              <w:rPr>
                <w:rFonts w:ascii="標楷體" w:eastAsia="標楷體" w:hAnsi="標楷體" w:cs="新細明體"/>
                <w:kern w:val="0"/>
                <w:szCs w:val="19"/>
              </w:rPr>
              <w:t>期貨信託事業運用自有資金購買於國內對不特定人募集之期貨信託</w:t>
            </w:r>
            <w:r>
              <w:rPr>
                <w:rFonts w:ascii="標楷體" w:eastAsia="標楷體" w:hAnsi="標楷體" w:cs="新細明體"/>
                <w:kern w:val="0"/>
                <w:szCs w:val="19"/>
              </w:rPr>
              <w:lastRenderedPageBreak/>
              <w:t>基金、募集之證券投資信託基金及境外基金總金額，不得超過事業最近期經會計師查核簽證財務報告之淨值之百分之三十；投資每一期貨信託基金、證券投資信託基金或每一境外基金總金額，不得超過事業淨值之百分之五，亦不得超過被投資期貨信託基金、證券投資信託基金或境外基金（如該境外基金有多種類別，則依該境外基金全球基金規模為準）前一日淨資產價值之百分之五。</w:t>
            </w:r>
            <w:r>
              <w:rPr>
                <w:rFonts w:ascii="標楷體" w:eastAsia="標楷體" w:hAnsi="標楷體" w:cs="新細明體"/>
                <w:kern w:val="0"/>
                <w:szCs w:val="19"/>
              </w:rPr>
              <w:br/>
            </w:r>
            <w:r>
              <w:rPr>
                <w:rFonts w:ascii="標楷體" w:eastAsia="標楷體" w:hAnsi="標楷體" w:cs="新細明體"/>
                <w:kern w:val="0"/>
                <w:szCs w:val="19"/>
              </w:rPr>
              <w:fldChar w:fldCharType="begin"/>
            </w:r>
            <w:r>
              <w:rPr>
                <w:rFonts w:ascii="標楷體" w:eastAsia="標楷體" w:hAnsi="標楷體" w:cs="新細明體"/>
                <w:kern w:val="0"/>
                <w:szCs w:val="19"/>
              </w:rPr>
              <w:instrText xml:space="preserve"> eq \o\ac(○,</w:instrText>
            </w:r>
            <w:r>
              <w:rPr>
                <w:rFonts w:ascii="標楷體" w:eastAsia="標楷體" w:hAnsi="標楷體" w:cs="新細明體"/>
                <w:kern w:val="0"/>
                <w:position w:val="3"/>
                <w:sz w:val="16"/>
                <w:szCs w:val="19"/>
              </w:rPr>
              <w:instrText>2</w:instrText>
            </w:r>
            <w:r>
              <w:rPr>
                <w:rFonts w:ascii="標楷體" w:eastAsia="標楷體" w:hAnsi="標楷體" w:cs="新細明體"/>
                <w:kern w:val="0"/>
                <w:szCs w:val="19"/>
              </w:rPr>
              <w:instrText>)</w:instrText>
            </w:r>
            <w:r>
              <w:rPr>
                <w:rFonts w:ascii="標楷體" w:eastAsia="標楷體" w:hAnsi="標楷體" w:cs="新細明體"/>
                <w:kern w:val="0"/>
                <w:szCs w:val="19"/>
              </w:rPr>
              <w:fldChar w:fldCharType="end"/>
            </w:r>
            <w:r>
              <w:rPr>
                <w:rFonts w:ascii="標楷體" w:eastAsia="標楷體" w:hAnsi="標楷體" w:cs="新細明體"/>
                <w:kern w:val="0"/>
                <w:szCs w:val="19"/>
              </w:rPr>
              <w:t>前開所稱投資期貨信託基金、證券投資信託基金及境外基金總金額，以原始投資成本為認定標準，投資後如因公司淨值或被投資基金之淨資產價值變動，以致未符規定時，事業得不需立即處分，惟嗣後只得賣出，不得再行買入，以調整至符合規定。</w:t>
            </w:r>
            <w:r>
              <w:rPr>
                <w:rFonts w:ascii="標楷體" w:eastAsia="標楷體" w:hAnsi="標楷體" w:cs="新細明體"/>
                <w:kern w:val="0"/>
                <w:szCs w:val="19"/>
              </w:rPr>
              <w:br/>
            </w:r>
            <w:r>
              <w:rPr>
                <w:rFonts w:ascii="標楷體" w:eastAsia="標楷體" w:hAnsi="標楷體" w:cs="新細明體"/>
                <w:kern w:val="0"/>
                <w:szCs w:val="19"/>
              </w:rPr>
              <w:fldChar w:fldCharType="begin"/>
            </w:r>
            <w:r>
              <w:rPr>
                <w:rFonts w:ascii="標楷體" w:eastAsia="標楷體" w:hAnsi="標楷體" w:cs="新細明體"/>
                <w:kern w:val="0"/>
                <w:szCs w:val="19"/>
              </w:rPr>
              <w:instrText xml:space="preserve"> eq \o\ac(○,</w:instrText>
            </w:r>
            <w:r>
              <w:rPr>
                <w:rFonts w:ascii="標楷體" w:eastAsia="標楷體" w:hAnsi="標楷體" w:cs="新細明體"/>
                <w:kern w:val="0"/>
                <w:position w:val="3"/>
                <w:sz w:val="16"/>
                <w:szCs w:val="19"/>
              </w:rPr>
              <w:instrText>3</w:instrText>
            </w:r>
            <w:r>
              <w:rPr>
                <w:rFonts w:ascii="標楷體" w:eastAsia="標楷體" w:hAnsi="標楷體" w:cs="新細明體"/>
                <w:kern w:val="0"/>
                <w:szCs w:val="19"/>
              </w:rPr>
              <w:instrText>)</w:instrText>
            </w:r>
            <w:r>
              <w:rPr>
                <w:rFonts w:ascii="標楷體" w:eastAsia="標楷體" w:hAnsi="標楷體" w:cs="新細明體"/>
                <w:kern w:val="0"/>
                <w:szCs w:val="19"/>
              </w:rPr>
              <w:fldChar w:fldCharType="end"/>
            </w:r>
            <w:r>
              <w:rPr>
                <w:rFonts w:ascii="標楷體" w:eastAsia="標楷體" w:hAnsi="標楷體" w:cs="新細明體"/>
                <w:kern w:val="0"/>
                <w:szCs w:val="19"/>
              </w:rPr>
              <w:t>期貨信託事業應於申購基金之日起或提出買回申請之次一營業日起三個營業日內，向中華民國期貨業商業同業公會（以下簡稱</w:t>
            </w:r>
            <w:r w:rsidR="00C22CB9" w:rsidRPr="00C22CB9">
              <w:rPr>
                <w:rFonts w:ascii="標楷體" w:eastAsia="標楷體" w:hAnsi="標楷體" w:cs="新細明體" w:hint="eastAsia"/>
                <w:kern w:val="0"/>
                <w:szCs w:val="19"/>
                <w:u w:val="single"/>
              </w:rPr>
              <w:t>期貨</w:t>
            </w:r>
            <w:r>
              <w:rPr>
                <w:rFonts w:ascii="標楷體" w:eastAsia="標楷體" w:hAnsi="標楷體" w:cs="新細明體"/>
                <w:kern w:val="0"/>
                <w:szCs w:val="19"/>
              </w:rPr>
              <w:t>公會）申報。</w:t>
            </w:r>
            <w:r>
              <w:rPr>
                <w:rFonts w:ascii="標楷體" w:eastAsia="標楷體" w:hAnsi="標楷體" w:cs="新細明體"/>
                <w:kern w:val="0"/>
                <w:szCs w:val="19"/>
              </w:rPr>
              <w:br/>
            </w:r>
            <w:r>
              <w:rPr>
                <w:rFonts w:ascii="標楷體" w:eastAsia="標楷體" w:hAnsi="標楷體" w:cs="新細明體"/>
                <w:kern w:val="0"/>
                <w:szCs w:val="19"/>
              </w:rPr>
              <w:fldChar w:fldCharType="begin"/>
            </w:r>
            <w:r>
              <w:rPr>
                <w:rFonts w:ascii="標楷體" w:eastAsia="標楷體" w:hAnsi="標楷體" w:cs="新細明體"/>
                <w:kern w:val="0"/>
                <w:szCs w:val="19"/>
              </w:rPr>
              <w:instrText xml:space="preserve"> eq \o\ac(○,</w:instrText>
            </w:r>
            <w:r>
              <w:rPr>
                <w:rFonts w:ascii="標楷體" w:eastAsia="標楷體" w:hAnsi="標楷體" w:cs="新細明體"/>
                <w:kern w:val="0"/>
                <w:position w:val="3"/>
                <w:sz w:val="16"/>
                <w:szCs w:val="19"/>
              </w:rPr>
              <w:instrText>4</w:instrText>
            </w:r>
            <w:r>
              <w:rPr>
                <w:rFonts w:ascii="標楷體" w:eastAsia="標楷體" w:hAnsi="標楷體" w:cs="新細明體"/>
                <w:kern w:val="0"/>
                <w:szCs w:val="19"/>
              </w:rPr>
              <w:instrText>)</w:instrText>
            </w:r>
            <w:r>
              <w:rPr>
                <w:rFonts w:ascii="標楷體" w:eastAsia="標楷體" w:hAnsi="標楷體" w:cs="新細明體"/>
                <w:kern w:val="0"/>
                <w:szCs w:val="19"/>
              </w:rPr>
              <w:fldChar w:fldCharType="end"/>
            </w:r>
            <w:r>
              <w:rPr>
                <w:rFonts w:ascii="標楷體" w:eastAsia="標楷體" w:hAnsi="標楷體" w:cs="新細明體"/>
                <w:kern w:val="0"/>
                <w:szCs w:val="19"/>
              </w:rPr>
              <w:t>不得從事證券信用交易。</w:t>
            </w:r>
          </w:p>
          <w:p w:rsidR="00853C1E" w:rsidRDefault="00853C1E">
            <w:pPr>
              <w:spacing w:line="400" w:lineRule="exact"/>
              <w:ind w:leftChars="676" w:left="1862" w:hangingChars="100" w:hanging="240"/>
              <w:rPr>
                <w:rFonts w:ascii="標楷體" w:eastAsia="標楷體" w:hAnsi="標楷體" w:cs="新細明體" w:hint="eastAsia"/>
                <w:kern w:val="0"/>
                <w:szCs w:val="19"/>
              </w:rPr>
            </w:pPr>
            <w:r>
              <w:rPr>
                <w:rFonts w:ascii="標楷體" w:eastAsia="標楷體" w:hAnsi="標楷體" w:cs="新細明體" w:hint="eastAsia"/>
                <w:kern w:val="0"/>
                <w:szCs w:val="19"/>
              </w:rPr>
              <w:t>(2)</w:t>
            </w:r>
            <w:r>
              <w:rPr>
                <w:rFonts w:ascii="標楷體" w:eastAsia="標楷體" w:hAnsi="標楷體" w:cs="新細明體"/>
                <w:kern w:val="0"/>
                <w:szCs w:val="19"/>
              </w:rPr>
              <w:t>投資於本國期貨交易所，其限額如下：</w:t>
            </w:r>
            <w:r>
              <w:rPr>
                <w:rFonts w:ascii="標楷體" w:eastAsia="標楷體" w:hAnsi="標楷體" w:cs="新細明體"/>
                <w:kern w:val="0"/>
                <w:szCs w:val="19"/>
              </w:rPr>
              <w:br/>
            </w:r>
            <w:r>
              <w:rPr>
                <w:rFonts w:ascii="標楷體" w:eastAsia="標楷體" w:hAnsi="標楷體" w:cs="新細明體"/>
                <w:kern w:val="0"/>
                <w:szCs w:val="19"/>
              </w:rPr>
              <w:fldChar w:fldCharType="begin"/>
            </w:r>
            <w:r>
              <w:rPr>
                <w:rFonts w:ascii="標楷體" w:eastAsia="標楷體" w:hAnsi="標楷體" w:cs="新細明體"/>
                <w:kern w:val="0"/>
                <w:szCs w:val="19"/>
              </w:rPr>
              <w:instrText xml:space="preserve"> eq \o\ac(○,</w:instrText>
            </w:r>
            <w:r>
              <w:rPr>
                <w:rFonts w:ascii="標楷體" w:eastAsia="標楷體" w:hAnsi="標楷體" w:cs="新細明體"/>
                <w:kern w:val="0"/>
                <w:position w:val="3"/>
                <w:sz w:val="16"/>
                <w:szCs w:val="19"/>
              </w:rPr>
              <w:instrText>1</w:instrText>
            </w:r>
            <w:r>
              <w:rPr>
                <w:rFonts w:ascii="標楷體" w:eastAsia="標楷體" w:hAnsi="標楷體" w:cs="新細明體"/>
                <w:kern w:val="0"/>
                <w:szCs w:val="19"/>
              </w:rPr>
              <w:instrText>)</w:instrText>
            </w:r>
            <w:r>
              <w:rPr>
                <w:rFonts w:ascii="標楷體" w:eastAsia="標楷體" w:hAnsi="標楷體" w:cs="新細明體"/>
                <w:kern w:val="0"/>
                <w:szCs w:val="19"/>
              </w:rPr>
              <w:fldChar w:fldCharType="end"/>
            </w:r>
            <w:r>
              <w:rPr>
                <w:rFonts w:ascii="標楷體" w:eastAsia="標楷體" w:hAnsi="標楷體" w:cs="新細明體"/>
                <w:kern w:val="0"/>
                <w:szCs w:val="19"/>
              </w:rPr>
              <w:t>投資金額不得超過該期貨信託事業實收資本額百分之十；但期貨信託</w:t>
            </w:r>
          </w:p>
          <w:p w:rsidR="00853C1E" w:rsidRDefault="00853C1E">
            <w:pPr>
              <w:spacing w:line="400" w:lineRule="exact"/>
              <w:ind w:leftChars="776" w:left="1862"/>
              <w:rPr>
                <w:rFonts w:ascii="標楷體" w:eastAsia="標楷體" w:hAnsi="標楷體" w:cs="新細明體" w:hint="eastAsia"/>
                <w:kern w:val="0"/>
                <w:szCs w:val="19"/>
              </w:rPr>
            </w:pPr>
            <w:r>
              <w:rPr>
                <w:rFonts w:ascii="標楷體" w:eastAsia="標楷體" w:hAnsi="標楷體" w:cs="新細明體" w:hint="eastAsia"/>
                <w:kern w:val="0"/>
                <w:szCs w:val="19"/>
              </w:rPr>
              <w:t xml:space="preserve">  </w:t>
            </w:r>
            <w:r>
              <w:rPr>
                <w:rFonts w:ascii="標楷體" w:eastAsia="標楷體" w:hAnsi="標楷體" w:cs="新細明體"/>
                <w:kern w:val="0"/>
                <w:szCs w:val="19"/>
              </w:rPr>
              <w:t>事業投資時，該事業經會計師查核簽證之最近年度財務報告所列淨值</w:t>
            </w:r>
          </w:p>
          <w:p w:rsidR="00853C1E" w:rsidRDefault="00853C1E">
            <w:pPr>
              <w:spacing w:line="400" w:lineRule="exact"/>
              <w:ind w:leftChars="776" w:left="1862" w:firstLineChars="100" w:firstLine="240"/>
              <w:rPr>
                <w:rFonts w:ascii="標楷體" w:eastAsia="標楷體" w:hAnsi="標楷體" w:cs="新細明體" w:hint="eastAsia"/>
                <w:kern w:val="0"/>
                <w:szCs w:val="19"/>
              </w:rPr>
            </w:pPr>
            <w:r>
              <w:rPr>
                <w:rFonts w:ascii="標楷體" w:eastAsia="標楷體" w:hAnsi="標楷體" w:cs="新細明體"/>
                <w:kern w:val="0"/>
                <w:szCs w:val="19"/>
              </w:rPr>
              <w:t>低於實收資本額者，上開百分之十計算以「淨值」為準。</w:t>
            </w:r>
            <w:r>
              <w:rPr>
                <w:rFonts w:ascii="標楷體" w:eastAsia="標楷體" w:hAnsi="標楷體" w:cs="新細明體"/>
                <w:kern w:val="0"/>
                <w:szCs w:val="19"/>
              </w:rPr>
              <w:br/>
            </w:r>
            <w:r>
              <w:rPr>
                <w:rFonts w:ascii="標楷體" w:eastAsia="標楷體" w:hAnsi="標楷體" w:cs="新細明體"/>
                <w:kern w:val="0"/>
                <w:szCs w:val="19"/>
              </w:rPr>
              <w:fldChar w:fldCharType="begin"/>
            </w:r>
            <w:r>
              <w:rPr>
                <w:rFonts w:ascii="標楷體" w:eastAsia="標楷體" w:hAnsi="標楷體" w:cs="新細明體"/>
                <w:kern w:val="0"/>
                <w:szCs w:val="19"/>
              </w:rPr>
              <w:instrText xml:space="preserve"> eq \o\ac(○,</w:instrText>
            </w:r>
            <w:r>
              <w:rPr>
                <w:rFonts w:ascii="標楷體" w:eastAsia="標楷體" w:hAnsi="標楷體" w:cs="新細明體"/>
                <w:kern w:val="0"/>
                <w:position w:val="3"/>
                <w:sz w:val="16"/>
                <w:szCs w:val="19"/>
              </w:rPr>
              <w:instrText>2</w:instrText>
            </w:r>
            <w:r>
              <w:rPr>
                <w:rFonts w:ascii="標楷體" w:eastAsia="標楷體" w:hAnsi="標楷體" w:cs="新細明體"/>
                <w:kern w:val="0"/>
                <w:szCs w:val="19"/>
              </w:rPr>
              <w:instrText>)</w:instrText>
            </w:r>
            <w:r>
              <w:rPr>
                <w:rFonts w:ascii="標楷體" w:eastAsia="標楷體" w:hAnsi="標楷體" w:cs="新細明體"/>
                <w:kern w:val="0"/>
                <w:szCs w:val="19"/>
              </w:rPr>
              <w:fldChar w:fldCharType="end"/>
            </w:r>
            <w:r>
              <w:rPr>
                <w:rFonts w:ascii="標楷體" w:eastAsia="標楷體" w:hAnsi="標楷體" w:cs="新細明體"/>
                <w:kern w:val="0"/>
                <w:szCs w:val="19"/>
              </w:rPr>
              <w:t>加計運用自有資金投資於其他依法令或</w:t>
            </w:r>
            <w:r>
              <w:rPr>
                <w:rFonts w:ascii="標楷體" w:eastAsia="標楷體" w:hAnsi="標楷體" w:cs="新細明體" w:hint="eastAsia"/>
                <w:kern w:val="0"/>
                <w:szCs w:val="19"/>
              </w:rPr>
              <w:t>金管</w:t>
            </w:r>
            <w:r>
              <w:rPr>
                <w:rFonts w:ascii="標楷體" w:eastAsia="標楷體" w:hAnsi="標楷體" w:cs="新細明體"/>
                <w:kern w:val="0"/>
                <w:szCs w:val="19"/>
              </w:rPr>
              <w:t>會核准之事業之投資總</w:t>
            </w:r>
          </w:p>
          <w:p w:rsidR="00853C1E" w:rsidRDefault="00853C1E">
            <w:pPr>
              <w:spacing w:line="400" w:lineRule="exact"/>
              <w:ind w:leftChars="676" w:left="1622" w:firstLineChars="199" w:firstLine="478"/>
              <w:rPr>
                <w:rFonts w:ascii="標楷體" w:eastAsia="標楷體" w:hAnsi="標楷體" w:cs="新細明體" w:hint="eastAsia"/>
                <w:kern w:val="0"/>
                <w:szCs w:val="19"/>
              </w:rPr>
            </w:pPr>
            <w:r>
              <w:rPr>
                <w:rFonts w:ascii="標楷體" w:eastAsia="標楷體" w:hAnsi="標楷體" w:cs="新細明體"/>
                <w:kern w:val="0"/>
                <w:szCs w:val="19"/>
              </w:rPr>
              <w:t>額，不得超過該期貨信託事業實收資本額百分之四十。</w:t>
            </w:r>
            <w:r>
              <w:rPr>
                <w:rFonts w:ascii="標楷體" w:eastAsia="標楷體" w:hAnsi="標楷體" w:cs="新細明體"/>
                <w:kern w:val="0"/>
                <w:szCs w:val="19"/>
              </w:rPr>
              <w:br/>
            </w:r>
            <w:r>
              <w:rPr>
                <w:rFonts w:ascii="標楷體" w:eastAsia="標楷體" w:hAnsi="標楷體" w:cs="新細明體" w:hint="eastAsia"/>
                <w:kern w:val="0"/>
                <w:szCs w:val="19"/>
              </w:rPr>
              <w:t>(3)</w:t>
            </w:r>
            <w:r>
              <w:rPr>
                <w:rFonts w:ascii="標楷體" w:eastAsia="標楷體" w:hAnsi="標楷體" w:cs="新細明體"/>
                <w:kern w:val="0"/>
                <w:szCs w:val="19"/>
              </w:rPr>
              <w:t>於我國之外匯指定銀行開設外幣存款帳戶持有外幣，其持有外幣之總額</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lastRenderedPageBreak/>
              <w:t>度以不超過該期貨信託事業淨值之百分之十為限，並應注意不得有影</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響新臺幣匯率穩定之行為。</w:t>
            </w:r>
            <w:r>
              <w:rPr>
                <w:rFonts w:ascii="標楷體" w:eastAsia="標楷體" w:hAnsi="標楷體" w:cs="新細明體"/>
                <w:kern w:val="0"/>
                <w:szCs w:val="19"/>
              </w:rPr>
              <w:br/>
            </w:r>
            <w:r>
              <w:rPr>
                <w:rFonts w:ascii="標楷體" w:eastAsia="標楷體" w:hAnsi="標楷體" w:cs="新細明體" w:hint="eastAsia"/>
                <w:kern w:val="0"/>
                <w:szCs w:val="19"/>
              </w:rPr>
              <w:t>(4)</w:t>
            </w:r>
            <w:r>
              <w:rPr>
                <w:rFonts w:ascii="標楷體" w:eastAsia="標楷體" w:hAnsi="標楷體" w:cs="新細明體"/>
                <w:kern w:val="0"/>
                <w:szCs w:val="19"/>
              </w:rPr>
              <w:t>購買上市櫃股票、金融債券及公司債總金額，不得超過期貨信託事業實</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收資本額或淨值較低者百分之二十；持有任一國內上市櫃公司股份之</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總額，不得超過該公司已發行股份總額之百分之十；且持有上櫃股票</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總額，不得超過期貨信託事業實收資本額或淨值較低者百分之十。</w:t>
            </w:r>
            <w:r>
              <w:rPr>
                <w:rFonts w:ascii="標楷體" w:eastAsia="標楷體" w:hAnsi="標楷體" w:cs="新細明體"/>
                <w:kern w:val="0"/>
                <w:szCs w:val="19"/>
              </w:rPr>
              <w:br/>
            </w:r>
            <w:r>
              <w:rPr>
                <w:rFonts w:ascii="標楷體" w:eastAsia="標楷體" w:hAnsi="標楷體" w:cs="新細明體" w:hint="eastAsia"/>
                <w:kern w:val="0"/>
                <w:szCs w:val="19"/>
              </w:rPr>
              <w:t>(5)</w:t>
            </w:r>
            <w:r>
              <w:rPr>
                <w:rFonts w:ascii="標楷體" w:eastAsia="標楷體" w:hAnsi="標楷體" w:cs="新細明體"/>
                <w:kern w:val="0"/>
                <w:szCs w:val="19"/>
              </w:rPr>
              <w:t>為避免期貨信託事業自有資金運用與期貨信託基金產生利益衝突，期貨</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信託事業於決定運用期貨信託基金從事某種股票投資時起，至期貨信</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託基金不再持有該股票止，不得投資該股票。但如係事業於期貨信託</w:t>
            </w:r>
          </w:p>
          <w:p w:rsidR="00853C1E" w:rsidRDefault="00853C1E">
            <w:pPr>
              <w:spacing w:line="400" w:lineRule="exact"/>
              <w:ind w:leftChars="676" w:left="1622" w:firstLineChars="196" w:firstLine="470"/>
              <w:rPr>
                <w:rFonts w:ascii="標楷體" w:eastAsia="標楷體" w:hAnsi="標楷體" w:cs="新細明體" w:hint="eastAsia"/>
                <w:kern w:val="0"/>
                <w:szCs w:val="19"/>
              </w:rPr>
            </w:pPr>
            <w:r>
              <w:rPr>
                <w:rFonts w:ascii="標楷體" w:eastAsia="標楷體" w:hAnsi="標楷體" w:cs="新細明體"/>
                <w:kern w:val="0"/>
                <w:szCs w:val="19"/>
              </w:rPr>
              <w:t>基金從事該股票投資前所持有者，於期貨信託基金持有該股票期間得</w:t>
            </w:r>
          </w:p>
          <w:p w:rsidR="00853C1E" w:rsidRDefault="00853C1E">
            <w:pPr>
              <w:spacing w:line="400" w:lineRule="exact"/>
              <w:ind w:leftChars="676" w:left="1622" w:firstLineChars="196" w:firstLine="470"/>
              <w:rPr>
                <w:rFonts w:ascii="標楷體" w:eastAsia="標楷體" w:hAnsi="標楷體" w:cs="新細明體"/>
                <w:kern w:val="0"/>
                <w:szCs w:val="19"/>
              </w:rPr>
            </w:pPr>
            <w:r>
              <w:rPr>
                <w:rFonts w:ascii="標楷體" w:eastAsia="標楷體" w:hAnsi="標楷體" w:cs="新細明體"/>
                <w:kern w:val="0"/>
                <w:szCs w:val="19"/>
              </w:rPr>
              <w:t xml:space="preserve">予賣出，惟不得再行買入。 </w:t>
            </w:r>
          </w:p>
          <w:p w:rsidR="00853C1E" w:rsidRDefault="00853C1E">
            <w:pPr>
              <w:spacing w:line="400" w:lineRule="exact"/>
              <w:ind w:leftChars="518" w:left="1483" w:hangingChars="100" w:hanging="240"/>
              <w:rPr>
                <w:rFonts w:ascii="Arial" w:eastAsia="標楷體" w:hAnsi="標楷體" w:cs="Arial"/>
                <w:szCs w:val="24"/>
              </w:rPr>
            </w:pPr>
            <w:r>
              <w:rPr>
                <w:rFonts w:ascii="Arial" w:eastAsia="標楷體" w:hAnsi="標楷體" w:cs="Arial" w:hint="eastAsia"/>
                <w:szCs w:val="24"/>
              </w:rPr>
              <w:t>3.</w:t>
            </w:r>
            <w:r>
              <w:rPr>
                <w:rFonts w:ascii="Arial" w:eastAsia="標楷體" w:hAnsi="標楷體" w:cs="Arial"/>
                <w:szCs w:val="24"/>
              </w:rPr>
              <w:t>投資之申請應檢附相關評估資料，明列可能之投資項目，分析投資標的物之財務、業務狀況、股價、市場定位、</w:t>
            </w:r>
            <w:r>
              <w:rPr>
                <w:rFonts w:ascii="Arial" w:eastAsia="標楷體" w:hAnsi="標楷體" w:cs="Arial" w:hint="eastAsia"/>
                <w:szCs w:val="24"/>
              </w:rPr>
              <w:t>投資之風險評估</w:t>
            </w:r>
            <w:r>
              <w:rPr>
                <w:rFonts w:ascii="Arial" w:eastAsia="標楷體" w:hAnsi="標楷體" w:cs="Arial"/>
                <w:szCs w:val="24"/>
              </w:rPr>
              <w:t>及經營績效等資訊。</w:t>
            </w:r>
          </w:p>
          <w:p w:rsidR="00853C1E" w:rsidRDefault="00853C1E">
            <w:pPr>
              <w:spacing w:line="400" w:lineRule="exact"/>
              <w:ind w:leftChars="518" w:left="1483" w:hangingChars="100" w:hanging="240"/>
              <w:rPr>
                <w:rFonts w:ascii="Arial" w:eastAsia="標楷體" w:hAnsi="Arial" w:cs="Arial"/>
                <w:szCs w:val="24"/>
              </w:rPr>
            </w:pPr>
            <w:r>
              <w:rPr>
                <w:rFonts w:ascii="Arial" w:eastAsia="標楷體" w:hAnsi="標楷體" w:cs="Arial" w:hint="eastAsia"/>
                <w:szCs w:val="24"/>
              </w:rPr>
              <w:t>4.</w:t>
            </w:r>
            <w:r>
              <w:rPr>
                <w:rFonts w:ascii="Arial" w:eastAsia="標楷體" w:hAnsi="標楷體" w:cs="Arial" w:hint="eastAsia"/>
                <w:szCs w:val="24"/>
              </w:rPr>
              <w:t>根據</w:t>
            </w:r>
            <w:r>
              <w:rPr>
                <w:rFonts w:ascii="Arial" w:eastAsia="標楷體" w:hAnsi="標楷體" w:cs="Arial" w:hint="eastAsia"/>
              </w:rPr>
              <w:t>一般公認會</w:t>
            </w:r>
            <w:r>
              <w:rPr>
                <w:rFonts w:ascii="Arial" w:eastAsia="標楷體" w:hAnsi="標楷體" w:cs="Arial"/>
              </w:rPr>
              <w:t>計</w:t>
            </w:r>
            <w:r>
              <w:rPr>
                <w:rFonts w:ascii="Arial" w:eastAsia="標楷體" w:hAnsi="標楷體" w:cs="Arial" w:hint="eastAsia"/>
              </w:rPr>
              <w:t>原</w:t>
            </w:r>
            <w:r>
              <w:rPr>
                <w:rFonts w:ascii="Arial" w:eastAsia="標楷體" w:hAnsi="標楷體" w:cs="Arial"/>
              </w:rPr>
              <w:t>則</w:t>
            </w:r>
            <w:r>
              <w:rPr>
                <w:rFonts w:ascii="Arial" w:eastAsia="標楷體" w:hAnsi="標楷體" w:cs="Arial"/>
                <w:szCs w:val="24"/>
              </w:rPr>
              <w:t>依其投資目的及性質列入資產負債表項下之各式金融資產者，</w:t>
            </w:r>
            <w:r>
              <w:rPr>
                <w:rFonts w:ascii="Arial" w:eastAsia="標楷體" w:hAnsi="標楷體" w:cs="Arial" w:hint="eastAsia"/>
                <w:szCs w:val="24"/>
              </w:rPr>
              <w:t>其包含</w:t>
            </w:r>
            <w:r>
              <w:rPr>
                <w:rFonts w:eastAsia="標楷體" w:hint="eastAsia"/>
              </w:rPr>
              <w:t>為公平價值變動列入損益之金融資產、持有至到期日之投資、避險之衍生性金融資產、無活絡市場之債券投資及備供出售之金融資產等投資項目</w:t>
            </w:r>
            <w:r>
              <w:rPr>
                <w:rFonts w:eastAsia="標楷體" w:hint="eastAsia"/>
              </w:rPr>
              <w:t>(</w:t>
            </w:r>
            <w:r>
              <w:rPr>
                <w:rFonts w:eastAsia="標楷體" w:hint="eastAsia"/>
              </w:rPr>
              <w:t>包含長期股權投資</w:t>
            </w:r>
            <w:r>
              <w:rPr>
                <w:rFonts w:eastAsia="標楷體" w:hint="eastAsia"/>
              </w:rPr>
              <w:t>)</w:t>
            </w:r>
            <w:r>
              <w:rPr>
                <w:rFonts w:ascii="Arial" w:eastAsia="標楷體" w:hAnsi="標楷體" w:cs="Arial"/>
                <w:szCs w:val="24"/>
              </w:rPr>
              <w:t>其取得之評估為：</w:t>
            </w:r>
          </w:p>
          <w:p w:rsidR="00853C1E" w:rsidRDefault="00853C1E">
            <w:pPr>
              <w:spacing w:line="400" w:lineRule="exact"/>
              <w:ind w:leftChars="630" w:left="1752" w:hangingChars="100" w:hanging="240"/>
              <w:rPr>
                <w:rFonts w:ascii="Arial" w:eastAsia="標楷體" w:hAnsi="Arial" w:cs="Arial" w:hint="eastAsia"/>
                <w:szCs w:val="24"/>
              </w:rPr>
            </w:pPr>
            <w:r>
              <w:rPr>
                <w:rFonts w:ascii="Arial" w:eastAsia="標楷體" w:hAnsi="標楷體" w:cs="Arial" w:hint="eastAsia"/>
                <w:szCs w:val="24"/>
              </w:rPr>
              <w:t>(1)</w:t>
            </w:r>
            <w:r>
              <w:rPr>
                <w:rFonts w:ascii="Arial" w:eastAsia="標楷體" w:hAnsi="標楷體" w:cs="Arial"/>
                <w:szCs w:val="24"/>
              </w:rPr>
              <w:t>財務單位</w:t>
            </w:r>
            <w:r>
              <w:rPr>
                <w:rFonts w:ascii="Arial" w:eastAsia="標楷體" w:hAnsi="標楷體" w:cs="Arial" w:hint="eastAsia"/>
                <w:szCs w:val="24"/>
              </w:rPr>
              <w:t>應先</w:t>
            </w:r>
            <w:r>
              <w:rPr>
                <w:rFonts w:ascii="Arial" w:eastAsia="標楷體" w:hAnsi="標楷體" w:cs="Arial"/>
                <w:szCs w:val="24"/>
              </w:rPr>
              <w:t>評估公司整體資金狀況後，選擇合適之投資標的，撰寫「投資取得（處分）申請單」說明選擇之原因、預計投入金額及預期回收效益等資料，並依據公司之規定呈核權責主管。</w:t>
            </w:r>
          </w:p>
          <w:p w:rsidR="00853C1E" w:rsidRDefault="00853C1E">
            <w:pPr>
              <w:spacing w:line="400" w:lineRule="exact"/>
              <w:ind w:leftChars="630" w:left="1752" w:hangingChars="100" w:hanging="240"/>
              <w:rPr>
                <w:rFonts w:ascii="Arial" w:eastAsia="標楷體" w:hAnsi="Arial" w:cs="Arial" w:hint="eastAsia"/>
                <w:szCs w:val="24"/>
              </w:rPr>
            </w:pPr>
            <w:r>
              <w:rPr>
                <w:rFonts w:ascii="Arial" w:eastAsia="標楷體" w:hAnsi="標楷體" w:cs="Arial" w:hint="eastAsia"/>
                <w:szCs w:val="24"/>
              </w:rPr>
              <w:t>(2)</w:t>
            </w:r>
            <w:r>
              <w:rPr>
                <w:rFonts w:ascii="Arial" w:eastAsia="標楷體" w:hAnsi="標楷體" w:cs="Arial" w:hint="eastAsia"/>
                <w:szCs w:val="24"/>
              </w:rPr>
              <w:t>若管理當局</w:t>
            </w:r>
            <w:r>
              <w:rPr>
                <w:rFonts w:ascii="Arial" w:eastAsia="標楷體" w:hAnsi="標楷體" w:cs="Arial"/>
                <w:szCs w:val="24"/>
              </w:rPr>
              <w:t>為取得控制權或獲取投資收益而投資其他企業股票、長期債券</w:t>
            </w:r>
            <w:r>
              <w:rPr>
                <w:rFonts w:ascii="Arial" w:eastAsia="標楷體" w:hAnsi="標楷體" w:cs="Arial"/>
                <w:szCs w:val="24"/>
              </w:rPr>
              <w:lastRenderedPageBreak/>
              <w:t>及進行其他長期投資前，</w:t>
            </w:r>
            <w:r>
              <w:rPr>
                <w:rFonts w:ascii="Arial" w:eastAsia="標楷體" w:hAnsi="標楷體" w:cs="Arial" w:hint="eastAsia"/>
                <w:szCs w:val="24"/>
              </w:rPr>
              <w:t>公司有必要時應成立投資評估小組並</w:t>
            </w:r>
            <w:r>
              <w:rPr>
                <w:rFonts w:ascii="Arial" w:eastAsia="標楷體" w:hAnsi="標楷體" w:cs="Arial"/>
                <w:szCs w:val="24"/>
              </w:rPr>
              <w:t>在投資前詳細評估及計畫，並彙總該項投資之建議及相關資料，就該項投資之特性進行評估及效益分析，作成投資計畫及評估報告併同「簽呈」呈權責主管簽核後，</w:t>
            </w:r>
            <w:r>
              <w:rPr>
                <w:rFonts w:ascii="Arial" w:eastAsia="標楷體" w:hAnsi="標楷體" w:cs="Arial" w:hint="eastAsia"/>
                <w:szCs w:val="24"/>
              </w:rPr>
              <w:t>呈報</w:t>
            </w:r>
            <w:r>
              <w:rPr>
                <w:rFonts w:ascii="Arial" w:eastAsia="標楷體" w:hAnsi="標楷體" w:cs="Arial"/>
                <w:szCs w:val="24"/>
              </w:rPr>
              <w:t>董事長以作為決策之參考依據。</w:t>
            </w:r>
          </w:p>
          <w:p w:rsidR="00853C1E" w:rsidRDefault="00853C1E">
            <w:pPr>
              <w:spacing w:line="400" w:lineRule="exact"/>
              <w:ind w:leftChars="630" w:left="1752" w:hangingChars="100" w:hanging="240"/>
              <w:rPr>
                <w:rFonts w:ascii="Arial" w:eastAsia="標楷體" w:hAnsi="Arial" w:cs="Arial"/>
                <w:szCs w:val="24"/>
              </w:rPr>
            </w:pPr>
            <w:r>
              <w:rPr>
                <w:rFonts w:ascii="Arial" w:eastAsia="標楷體" w:hAnsi="標楷體" w:cs="Arial" w:hint="eastAsia"/>
                <w:szCs w:val="24"/>
              </w:rPr>
              <w:t>(3)</w:t>
            </w:r>
            <w:r>
              <w:rPr>
                <w:rFonts w:ascii="Arial" w:eastAsia="標楷體" w:hAnsi="標楷體" w:cs="Arial"/>
                <w:szCs w:val="24"/>
              </w:rPr>
              <w:t>投資資產之取得或處分計畫如屬公司法第一百八十五條規定之情事者，尚須報請股東會同意後方可執行之。</w:t>
            </w:r>
          </w:p>
          <w:p w:rsidR="00853C1E" w:rsidRDefault="00853C1E">
            <w:pPr>
              <w:spacing w:line="400" w:lineRule="exact"/>
              <w:ind w:leftChars="630" w:left="1752" w:hangingChars="100" w:hanging="240"/>
              <w:rPr>
                <w:rFonts w:ascii="Arial" w:eastAsia="標楷體" w:hAnsi="Arial" w:cs="Arial" w:hint="eastAsia"/>
                <w:szCs w:val="24"/>
              </w:rPr>
            </w:pPr>
            <w:r>
              <w:rPr>
                <w:rFonts w:ascii="Arial" w:eastAsia="標楷體" w:hAnsi="標楷體" w:cs="Arial" w:hint="eastAsia"/>
                <w:szCs w:val="24"/>
              </w:rPr>
              <w:t>(4)</w:t>
            </w:r>
            <w:r>
              <w:rPr>
                <w:rFonts w:ascii="Arial" w:eastAsia="標楷體" w:hAnsi="標楷體" w:cs="Arial"/>
                <w:szCs w:val="24"/>
              </w:rPr>
              <w:t>財務單位應隨時注意投資標的物之信用狀況、收益率、安全性、流動性及風險性，當有異常之情形發生，應即呈報權責主管並採取立即之行動。</w:t>
            </w:r>
          </w:p>
          <w:p w:rsidR="00853C1E" w:rsidRDefault="00853C1E">
            <w:pPr>
              <w:spacing w:line="400" w:lineRule="exact"/>
              <w:ind w:leftChars="630" w:left="1752" w:hangingChars="100" w:hanging="240"/>
              <w:rPr>
                <w:rFonts w:ascii="Arial" w:eastAsia="標楷體" w:hAnsi="Arial" w:cs="Arial"/>
                <w:szCs w:val="24"/>
              </w:rPr>
            </w:pPr>
            <w:r>
              <w:rPr>
                <w:rFonts w:ascii="Arial" w:eastAsia="標楷體" w:hAnsi="標楷體" w:cs="Arial" w:hint="eastAsia"/>
                <w:szCs w:val="24"/>
              </w:rPr>
              <w:t>(5)</w:t>
            </w:r>
            <w:r>
              <w:rPr>
                <w:rFonts w:ascii="Arial" w:eastAsia="標楷體" w:hAnsi="標楷體" w:cs="Arial" w:hint="eastAsia"/>
                <w:szCs w:val="24"/>
              </w:rPr>
              <w:t>投資信託事業若屬於公開發行公司取得或處分有價證券投資應依</w:t>
            </w:r>
            <w:r>
              <w:rPr>
                <w:rFonts w:ascii="Arial" w:eastAsia="標楷體" w:hAnsi="標楷體" w:cs="Arial"/>
                <w:szCs w:val="24"/>
              </w:rPr>
              <w:t>「</w:t>
            </w:r>
            <w:r>
              <w:rPr>
                <w:rFonts w:ascii="Arial" w:eastAsia="標楷體" w:hAnsi="標楷體" w:cs="Arial" w:hint="eastAsia"/>
                <w:szCs w:val="24"/>
              </w:rPr>
              <w:t>公開發行公司取得或處分資產處理準則</w:t>
            </w:r>
            <w:r>
              <w:rPr>
                <w:rFonts w:ascii="Arial" w:eastAsia="標楷體" w:hAnsi="標楷體" w:cs="Arial"/>
                <w:szCs w:val="24"/>
              </w:rPr>
              <w:t>」</w:t>
            </w:r>
            <w:r>
              <w:rPr>
                <w:rFonts w:ascii="Arial" w:eastAsia="標楷體" w:hAnsi="標楷體" w:cs="Arial" w:hint="eastAsia"/>
                <w:szCs w:val="24"/>
              </w:rPr>
              <w:t>之規定辦理</w:t>
            </w:r>
            <w:r>
              <w:rPr>
                <w:rFonts w:ascii="Arial" w:eastAsia="標楷體" w:hAnsi="標楷體" w:cs="Arial"/>
                <w:szCs w:val="24"/>
              </w:rPr>
              <w:t>。</w:t>
            </w:r>
          </w:p>
          <w:p w:rsidR="00853C1E" w:rsidRDefault="00853C1E">
            <w:pPr>
              <w:spacing w:line="400" w:lineRule="exact"/>
              <w:ind w:left="1243"/>
              <w:rPr>
                <w:rFonts w:ascii="Arial" w:eastAsia="標楷體" w:hAnsi="Arial" w:cs="Arial"/>
                <w:szCs w:val="24"/>
              </w:rPr>
            </w:pPr>
            <w:r>
              <w:rPr>
                <w:rFonts w:ascii="Arial" w:eastAsia="標楷體" w:hAnsi="標楷體" w:cs="Arial" w:hint="eastAsia"/>
                <w:szCs w:val="24"/>
              </w:rPr>
              <w:t>5.</w:t>
            </w:r>
            <w:r>
              <w:rPr>
                <w:rFonts w:ascii="Arial" w:eastAsia="標楷體" w:hAnsi="標楷體" w:cs="Arial"/>
                <w:szCs w:val="24"/>
              </w:rPr>
              <w:t>衍生性金融商品投資：</w:t>
            </w:r>
          </w:p>
          <w:p w:rsidR="00853C1E" w:rsidRDefault="00853C1E">
            <w:pPr>
              <w:spacing w:line="400" w:lineRule="exact"/>
              <w:ind w:left="1512"/>
              <w:jc w:val="both"/>
              <w:rPr>
                <w:rFonts w:ascii="Arial" w:eastAsia="標楷體" w:hAnsi="Arial" w:cs="Arial" w:hint="eastAsia"/>
                <w:szCs w:val="24"/>
              </w:rPr>
            </w:pPr>
            <w:r>
              <w:rPr>
                <w:rFonts w:ascii="Arial" w:eastAsia="標楷體" w:hAnsi="Arial" w:cs="Arial" w:hint="eastAsia"/>
                <w:szCs w:val="24"/>
              </w:rPr>
              <w:t>(1)</w:t>
            </w:r>
            <w:r>
              <w:rPr>
                <w:rFonts w:ascii="Arial" w:eastAsia="標楷體" w:hAnsi="Arial" w:cs="Arial" w:hint="eastAsia"/>
                <w:szCs w:val="24"/>
              </w:rPr>
              <w:t>應以經主管機關核准之項目為限。</w:t>
            </w:r>
          </w:p>
          <w:p w:rsidR="00853C1E" w:rsidRDefault="00853C1E">
            <w:pPr>
              <w:spacing w:line="400" w:lineRule="exact"/>
              <w:ind w:leftChars="630" w:left="1752" w:hangingChars="100" w:hanging="240"/>
              <w:jc w:val="both"/>
              <w:rPr>
                <w:rFonts w:ascii="Arial" w:eastAsia="標楷體" w:hAnsi="Arial" w:cs="Arial" w:hint="eastAsia"/>
                <w:szCs w:val="24"/>
              </w:rPr>
            </w:pPr>
            <w:r>
              <w:rPr>
                <w:rFonts w:ascii="Arial" w:eastAsia="標楷體" w:hAnsi="標楷體" w:cs="Arial" w:hint="eastAsia"/>
                <w:szCs w:val="24"/>
              </w:rPr>
              <w:t>(2)</w:t>
            </w:r>
            <w:r>
              <w:rPr>
                <w:rFonts w:ascii="Arial" w:eastAsia="標楷體" w:hAnsi="標楷體" w:cs="Arial"/>
                <w:szCs w:val="24"/>
              </w:rPr>
              <w:t>從事衍生性商品交易前，應事先評估其信用、市場價格、流動性、法律及本公司可承受之風險程度等，據以擬定簽呈並分析其成本及效益後，經權責主管核准後始可為之。</w:t>
            </w:r>
          </w:p>
          <w:p w:rsidR="00853C1E" w:rsidRDefault="00853C1E">
            <w:pPr>
              <w:spacing w:line="400" w:lineRule="exact"/>
              <w:ind w:leftChars="630" w:left="1752" w:hangingChars="100" w:hanging="240"/>
              <w:jc w:val="both"/>
              <w:rPr>
                <w:rFonts w:ascii="Arial" w:eastAsia="標楷體" w:hAnsi="Arial" w:cs="Arial"/>
                <w:szCs w:val="24"/>
              </w:rPr>
            </w:pPr>
            <w:r>
              <w:rPr>
                <w:rFonts w:ascii="Arial" w:eastAsia="標楷體" w:hAnsi="標楷體" w:cs="Arial" w:hint="eastAsia"/>
                <w:szCs w:val="24"/>
              </w:rPr>
              <w:t>(3)</w:t>
            </w:r>
            <w:r>
              <w:rPr>
                <w:rFonts w:ascii="Arial" w:eastAsia="標楷體" w:hAnsi="標楷體" w:cs="Arial" w:hint="eastAsia"/>
                <w:szCs w:val="24"/>
              </w:rPr>
              <w:t>投資信託事業於執行衍生性金融商品投資決策時應依照相關公司從事衍生性金融商品之管理規則辦理或依</w:t>
            </w:r>
            <w:r>
              <w:rPr>
                <w:rFonts w:ascii="Arial" w:eastAsia="標楷體" w:hAnsi="標楷體" w:cs="Arial"/>
                <w:szCs w:val="24"/>
              </w:rPr>
              <w:t>「</w:t>
            </w:r>
            <w:r>
              <w:rPr>
                <w:rFonts w:ascii="Arial" w:eastAsia="標楷體" w:hAnsi="標楷體" w:cs="Arial" w:hint="eastAsia"/>
                <w:szCs w:val="24"/>
              </w:rPr>
              <w:t>公開發行公司取得或處分資產處理準則</w:t>
            </w:r>
            <w:r>
              <w:rPr>
                <w:rFonts w:ascii="Arial" w:eastAsia="標楷體" w:hAnsi="標楷體" w:cs="Arial"/>
                <w:szCs w:val="24"/>
              </w:rPr>
              <w:t>」</w:t>
            </w:r>
            <w:r>
              <w:rPr>
                <w:rFonts w:ascii="Arial" w:eastAsia="標楷體" w:hAnsi="標楷體" w:cs="Arial" w:hint="eastAsia"/>
                <w:szCs w:val="24"/>
              </w:rPr>
              <w:t>之規定辦理</w:t>
            </w:r>
            <w:r>
              <w:rPr>
                <w:rFonts w:ascii="Arial" w:eastAsia="標楷體" w:hAnsi="標楷體" w:cs="Arial"/>
                <w:szCs w:val="24"/>
              </w:rPr>
              <w:t>。</w:t>
            </w:r>
          </w:p>
          <w:p w:rsidR="00853C1E" w:rsidRDefault="00853C1E">
            <w:pPr>
              <w:spacing w:line="400" w:lineRule="exact"/>
              <w:ind w:leftChars="518" w:left="1483" w:hangingChars="100" w:hanging="240"/>
              <w:rPr>
                <w:rFonts w:ascii="Arial" w:eastAsia="標楷體" w:hAnsi="Arial" w:cs="Arial"/>
                <w:szCs w:val="24"/>
              </w:rPr>
            </w:pPr>
            <w:r>
              <w:rPr>
                <w:rFonts w:ascii="Arial" w:eastAsia="標楷體" w:hAnsi="標楷體" w:cs="Arial" w:hint="eastAsia"/>
                <w:szCs w:val="24"/>
              </w:rPr>
              <w:t>6.</w:t>
            </w:r>
            <w:r>
              <w:rPr>
                <w:rFonts w:ascii="Arial" w:eastAsia="標楷體" w:hAnsi="標楷體" w:cs="Arial"/>
                <w:szCs w:val="24"/>
              </w:rPr>
              <w:t>管理階層的策略及執行情形應與董事會核准之政策一致，相關政策及程序之遵循應定期評估。</w:t>
            </w:r>
          </w:p>
          <w:p w:rsidR="00853C1E" w:rsidRDefault="00853C1E">
            <w:pPr>
              <w:numPr>
                <w:ilvl w:val="1"/>
                <w:numId w:val="4"/>
              </w:numPr>
              <w:spacing w:line="400" w:lineRule="exact"/>
              <w:rPr>
                <w:rFonts w:ascii="Arial" w:eastAsia="標楷體" w:hAnsi="Arial" w:cs="Arial"/>
                <w:szCs w:val="24"/>
              </w:rPr>
            </w:pPr>
            <w:r>
              <w:rPr>
                <w:rFonts w:ascii="Arial" w:eastAsia="標楷體" w:hAnsi="標楷體" w:cs="Arial"/>
                <w:szCs w:val="24"/>
              </w:rPr>
              <w:t>投資之取得</w:t>
            </w:r>
            <w:r>
              <w:rPr>
                <w:rFonts w:ascii="Arial" w:eastAsia="標楷體" w:hAnsi="標楷體" w:cs="Arial" w:hint="eastAsia"/>
                <w:szCs w:val="24"/>
              </w:rPr>
              <w:t>或處分</w:t>
            </w:r>
            <w:r>
              <w:rPr>
                <w:rFonts w:ascii="Arial" w:eastAsia="標楷體" w:hAnsi="標楷體" w:cs="Arial"/>
                <w:szCs w:val="24"/>
              </w:rPr>
              <w:t>交易程序，需獲得權責主管核准，方得執行。</w:t>
            </w:r>
          </w:p>
          <w:p w:rsidR="00853C1E" w:rsidRDefault="00853C1E">
            <w:pPr>
              <w:pStyle w:val="1"/>
              <w:numPr>
                <w:ilvl w:val="0"/>
                <w:numId w:val="4"/>
              </w:numPr>
              <w:spacing w:line="400" w:lineRule="exact"/>
              <w:rPr>
                <w:rFonts w:ascii="Arial" w:hAnsi="Arial" w:cs="Arial"/>
                <w:szCs w:val="24"/>
              </w:rPr>
            </w:pPr>
            <w:r>
              <w:rPr>
                <w:rFonts w:ascii="Arial" w:cs="Arial"/>
                <w:szCs w:val="24"/>
              </w:rPr>
              <w:lastRenderedPageBreak/>
              <w:t>控制重點：</w:t>
            </w:r>
          </w:p>
          <w:p w:rsidR="00853C1E" w:rsidRDefault="00853C1E">
            <w:pPr>
              <w:numPr>
                <w:ilvl w:val="1"/>
                <w:numId w:val="4"/>
              </w:numPr>
              <w:spacing w:line="400" w:lineRule="exact"/>
              <w:rPr>
                <w:rFonts w:ascii="Arial" w:eastAsia="標楷體" w:hAnsi="Arial" w:cs="Arial" w:hint="eastAsia"/>
                <w:szCs w:val="24"/>
              </w:rPr>
            </w:pPr>
            <w:r>
              <w:rPr>
                <w:rFonts w:ascii="Arial" w:eastAsia="標楷體" w:hAnsi="標楷體" w:cs="Arial" w:hint="eastAsia"/>
                <w:szCs w:val="24"/>
              </w:rPr>
              <w:t>執行投資前</w:t>
            </w:r>
            <w:r>
              <w:rPr>
                <w:rFonts w:ascii="Arial" w:eastAsia="標楷體" w:hAnsi="標楷體" w:cs="Arial"/>
              </w:rPr>
              <w:t>，</w:t>
            </w:r>
            <w:r>
              <w:rPr>
                <w:rFonts w:ascii="Arial" w:eastAsia="標楷體" w:hAnsi="標楷體" w:cs="Arial"/>
                <w:szCs w:val="24"/>
              </w:rPr>
              <w:t>財務</w:t>
            </w:r>
            <w:r>
              <w:rPr>
                <w:rFonts w:ascii="Arial" w:eastAsia="標楷體" w:hAnsi="標楷體" w:cs="Arial"/>
              </w:rPr>
              <w:t>單位應</w:t>
            </w:r>
            <w:r>
              <w:rPr>
                <w:rFonts w:ascii="Arial" w:eastAsia="標楷體" w:hAnsi="標楷體" w:cs="Arial" w:hint="eastAsia"/>
              </w:rPr>
              <w:t>以書面方式</w:t>
            </w:r>
            <w:r>
              <w:rPr>
                <w:rFonts w:ascii="Arial" w:eastAsia="標楷體" w:hAnsi="標楷體" w:cs="Arial"/>
              </w:rPr>
              <w:t>搜集標的物相關資訊以進行評估投資標的物之信用狀況、收益率、安全性、流動性</w:t>
            </w:r>
            <w:r>
              <w:rPr>
                <w:rFonts w:ascii="Arial" w:eastAsia="標楷體" w:hAnsi="Arial" w:cs="Arial"/>
                <w:kern w:val="0"/>
              </w:rPr>
              <w:t>、業務狀況</w:t>
            </w:r>
            <w:r>
              <w:rPr>
                <w:rFonts w:ascii="Arial" w:eastAsia="標楷體" w:hAnsi="標楷體" w:cs="Arial"/>
              </w:rPr>
              <w:t>及風險性</w:t>
            </w:r>
            <w:r>
              <w:rPr>
                <w:rFonts w:ascii="Arial" w:eastAsia="標楷體" w:hAnsi="標楷體" w:cs="Arial" w:hint="eastAsia"/>
              </w:rPr>
              <w:t>等資訊</w:t>
            </w:r>
            <w:r>
              <w:rPr>
                <w:rFonts w:ascii="Arial" w:eastAsia="標楷體" w:hAnsi="標楷體" w:cs="Arial"/>
              </w:rPr>
              <w:t>，並評估公司整體資金狀況，</w:t>
            </w:r>
            <w:r>
              <w:rPr>
                <w:rFonts w:ascii="Arial" w:eastAsia="標楷體" w:hAnsi="標楷體" w:cs="Arial" w:hint="eastAsia"/>
              </w:rPr>
              <w:t>且將上述之投資分析及投資申請書資料呈權責主管核准。</w:t>
            </w:r>
          </w:p>
          <w:p w:rsidR="00853C1E" w:rsidRDefault="00853C1E">
            <w:pPr>
              <w:numPr>
                <w:ilvl w:val="1"/>
                <w:numId w:val="4"/>
              </w:numPr>
              <w:spacing w:line="400" w:lineRule="exact"/>
              <w:rPr>
                <w:rFonts w:ascii="Arial" w:eastAsia="標楷體" w:hAnsi="Arial" w:cs="Arial" w:hint="eastAsia"/>
                <w:szCs w:val="24"/>
              </w:rPr>
            </w:pPr>
            <w:r>
              <w:rPr>
                <w:rFonts w:ascii="Arial" w:eastAsia="標楷體" w:hAnsi="標楷體" w:cs="Arial" w:hint="eastAsia"/>
                <w:szCs w:val="24"/>
              </w:rPr>
              <w:t>若管理當局</w:t>
            </w:r>
            <w:r>
              <w:rPr>
                <w:rFonts w:ascii="Arial" w:eastAsia="標楷體" w:hAnsi="標楷體" w:cs="Arial"/>
                <w:szCs w:val="24"/>
              </w:rPr>
              <w:t>為取得控制權或獲取投資收益而投資其他企業股票、長期債券及進行其他長期投資前，</w:t>
            </w:r>
            <w:r>
              <w:rPr>
                <w:rFonts w:ascii="Arial" w:eastAsia="標楷體" w:hAnsi="標楷體" w:cs="Arial" w:hint="eastAsia"/>
                <w:szCs w:val="24"/>
              </w:rPr>
              <w:t>公司有必要時應成立投資評估小組並</w:t>
            </w:r>
            <w:r>
              <w:rPr>
                <w:rFonts w:ascii="Arial" w:eastAsia="標楷體" w:hAnsi="標楷體" w:cs="Arial"/>
                <w:szCs w:val="24"/>
              </w:rPr>
              <w:t>在投資前詳細評估及計</w:t>
            </w:r>
            <w:r>
              <w:rPr>
                <w:rFonts w:ascii="Arial" w:eastAsia="標楷體" w:hAnsi="標楷體" w:cs="Arial" w:hint="eastAsia"/>
                <w:szCs w:val="24"/>
              </w:rPr>
              <w:t>劃</w:t>
            </w:r>
            <w:r>
              <w:rPr>
                <w:rFonts w:ascii="Arial" w:eastAsia="標楷體" w:hAnsi="標楷體" w:cs="Arial"/>
                <w:szCs w:val="24"/>
              </w:rPr>
              <w:t>，並彙總該項投資之建議及相關資料，就該項投資之特性進行評估及效益分析</w:t>
            </w:r>
            <w:r>
              <w:rPr>
                <w:rFonts w:ascii="Arial" w:eastAsia="標楷體" w:hAnsi="標楷體" w:cs="Arial" w:hint="eastAsia"/>
              </w:rPr>
              <w:t>。</w:t>
            </w:r>
          </w:p>
          <w:p w:rsidR="00853C1E" w:rsidRDefault="00853C1E">
            <w:pPr>
              <w:numPr>
                <w:ilvl w:val="1"/>
                <w:numId w:val="4"/>
              </w:numPr>
              <w:spacing w:line="400" w:lineRule="exact"/>
              <w:rPr>
                <w:rFonts w:ascii="Arial" w:eastAsia="標楷體" w:hAnsi="Arial" w:cs="Arial"/>
                <w:szCs w:val="24"/>
              </w:rPr>
            </w:pPr>
            <w:r>
              <w:rPr>
                <w:rFonts w:ascii="Arial" w:eastAsia="標楷體" w:hAnsi="標楷體" w:cs="Arial"/>
                <w:szCs w:val="24"/>
              </w:rPr>
              <w:t>投資之取得</w:t>
            </w:r>
            <w:r>
              <w:rPr>
                <w:rFonts w:ascii="Arial" w:eastAsia="標楷體" w:hAnsi="標楷體" w:cs="Arial" w:hint="eastAsia"/>
                <w:szCs w:val="24"/>
              </w:rPr>
              <w:t>或處分</w:t>
            </w:r>
            <w:r>
              <w:rPr>
                <w:rFonts w:ascii="Arial" w:eastAsia="標楷體" w:hAnsi="標楷體" w:cs="Arial"/>
                <w:szCs w:val="24"/>
              </w:rPr>
              <w:t>交易程序，</w:t>
            </w:r>
            <w:r>
              <w:rPr>
                <w:rFonts w:ascii="Arial" w:eastAsia="標楷體" w:hAnsi="標楷體" w:cs="Arial" w:hint="eastAsia"/>
                <w:szCs w:val="24"/>
              </w:rPr>
              <w:t>應依照公司之規定呈</w:t>
            </w:r>
            <w:r>
              <w:rPr>
                <w:rFonts w:ascii="Arial" w:eastAsia="標楷體" w:hAnsi="標楷體" w:cs="Arial"/>
                <w:szCs w:val="24"/>
              </w:rPr>
              <w:t>權責主管核准，方得執行。</w:t>
            </w:r>
          </w:p>
          <w:p w:rsidR="00853C1E" w:rsidRDefault="00853C1E">
            <w:pPr>
              <w:numPr>
                <w:ilvl w:val="1"/>
                <w:numId w:val="4"/>
              </w:numPr>
              <w:spacing w:line="400" w:lineRule="exact"/>
              <w:rPr>
                <w:rFonts w:ascii="Arial" w:eastAsia="標楷體" w:hAnsi="標楷體" w:cs="Arial" w:hint="eastAsia"/>
              </w:rPr>
            </w:pPr>
            <w:r>
              <w:rPr>
                <w:rFonts w:ascii="Arial" w:eastAsia="標楷體" w:hAnsi="標楷體" w:cs="Arial"/>
              </w:rPr>
              <w:t>財務單位應隨時掌握公司所持有之投資</w:t>
            </w:r>
            <w:r>
              <w:rPr>
                <w:rFonts w:ascii="Arial" w:eastAsia="標楷體" w:hAnsi="標楷體" w:cs="Arial" w:hint="eastAsia"/>
              </w:rPr>
              <w:t>項目</w:t>
            </w:r>
            <w:r>
              <w:rPr>
                <w:rFonts w:ascii="Arial" w:eastAsia="標楷體" w:hAnsi="標楷體" w:cs="Arial"/>
              </w:rPr>
              <w:t>之市場行情或資金調度情形，除到期處分外，依其個別狀況辦理</w:t>
            </w:r>
            <w:r>
              <w:rPr>
                <w:rFonts w:ascii="Arial" w:eastAsia="標楷體" w:hAnsi="標楷體" w:cs="Arial" w:hint="eastAsia"/>
              </w:rPr>
              <w:t>。</w:t>
            </w:r>
          </w:p>
          <w:p w:rsidR="00853C1E" w:rsidRDefault="00853C1E">
            <w:pPr>
              <w:numPr>
                <w:ilvl w:val="1"/>
                <w:numId w:val="4"/>
              </w:numPr>
              <w:spacing w:line="400" w:lineRule="exact"/>
              <w:rPr>
                <w:rFonts w:ascii="Arial" w:eastAsia="標楷體" w:hAnsi="Arial" w:cs="Arial" w:hint="eastAsia"/>
                <w:szCs w:val="24"/>
              </w:rPr>
            </w:pPr>
            <w:r>
              <w:rPr>
                <w:rFonts w:ascii="Arial" w:eastAsia="標楷體" w:hAnsi="標楷體" w:cs="Arial" w:hint="eastAsia"/>
              </w:rPr>
              <w:t>資金運用及投資金額之各項限制，應依期貨信託事業管理規則第十九條及主管機關之規範為之。</w:t>
            </w:r>
          </w:p>
          <w:p w:rsidR="00853C1E" w:rsidRDefault="00853C1E">
            <w:pPr>
              <w:numPr>
                <w:ilvl w:val="1"/>
                <w:numId w:val="4"/>
              </w:numPr>
              <w:spacing w:line="400" w:lineRule="exact"/>
              <w:rPr>
                <w:rFonts w:ascii="Arial" w:eastAsia="標楷體" w:hAnsi="Arial" w:cs="Arial"/>
                <w:szCs w:val="24"/>
              </w:rPr>
            </w:pPr>
            <w:r>
              <w:rPr>
                <w:rFonts w:ascii="Arial" w:eastAsia="標楷體" w:hAnsi="標楷體" w:cs="Arial" w:hint="eastAsia"/>
                <w:szCs w:val="24"/>
              </w:rPr>
              <w:t>期貨信託事業若屬於公開發行公司取得或處分有價證券投資應依</w:t>
            </w:r>
            <w:r>
              <w:rPr>
                <w:rFonts w:ascii="Arial" w:eastAsia="標楷體" w:hAnsi="標楷體" w:cs="Arial"/>
                <w:szCs w:val="24"/>
              </w:rPr>
              <w:t>「</w:t>
            </w:r>
            <w:r>
              <w:rPr>
                <w:rFonts w:ascii="Arial" w:eastAsia="標楷體" w:hAnsi="標楷體" w:cs="Arial" w:hint="eastAsia"/>
                <w:szCs w:val="24"/>
              </w:rPr>
              <w:t>公開發行公司取得或處分資產處理準則</w:t>
            </w:r>
            <w:r>
              <w:rPr>
                <w:rFonts w:ascii="Arial" w:eastAsia="標楷體" w:hAnsi="標楷體" w:cs="Arial"/>
                <w:szCs w:val="24"/>
              </w:rPr>
              <w:t>」</w:t>
            </w:r>
            <w:r>
              <w:rPr>
                <w:rFonts w:ascii="Arial" w:eastAsia="標楷體" w:hAnsi="標楷體" w:cs="Arial" w:hint="eastAsia"/>
                <w:szCs w:val="24"/>
              </w:rPr>
              <w:t>之規定辦理</w:t>
            </w:r>
            <w:r>
              <w:rPr>
                <w:rFonts w:ascii="Arial" w:eastAsia="標楷體" w:hAnsi="標楷體" w:cs="Arial"/>
                <w:szCs w:val="24"/>
              </w:rPr>
              <w:t>。</w:t>
            </w:r>
          </w:p>
          <w:p w:rsidR="00853C1E" w:rsidRDefault="00853C1E">
            <w:pPr>
              <w:spacing w:line="400" w:lineRule="exact"/>
              <w:rPr>
                <w:rFonts w:ascii="Arial" w:eastAsia="標楷體" w:hAnsi="Arial" w:cs="Arial" w:hint="eastAsia"/>
                <w:szCs w:val="24"/>
              </w:rPr>
            </w:pPr>
          </w:p>
          <w:p w:rsidR="00853C1E" w:rsidRDefault="00853C1E">
            <w:pPr>
              <w:spacing w:line="400" w:lineRule="exact"/>
              <w:rPr>
                <w:rFonts w:ascii="Arial" w:eastAsia="標楷體" w:hAnsi="Arial" w:cs="Arial" w:hint="eastAsia"/>
                <w:szCs w:val="24"/>
              </w:rPr>
            </w:pPr>
          </w:p>
          <w:p w:rsidR="00853C1E" w:rsidRDefault="00853C1E">
            <w:pPr>
              <w:spacing w:line="400" w:lineRule="exact"/>
              <w:rPr>
                <w:rFonts w:ascii="Arial" w:eastAsia="標楷體" w:hAnsi="Arial" w:cs="Arial" w:hint="eastAsia"/>
                <w:szCs w:val="24"/>
              </w:rPr>
            </w:pPr>
          </w:p>
          <w:p w:rsidR="00853C1E" w:rsidRDefault="00853C1E">
            <w:pPr>
              <w:spacing w:line="400" w:lineRule="exact"/>
              <w:rPr>
                <w:rFonts w:ascii="Arial" w:eastAsia="標楷體" w:hAnsi="Arial" w:cs="Arial" w:hint="eastAsia"/>
                <w:szCs w:val="24"/>
              </w:rPr>
            </w:pPr>
          </w:p>
        </w:tc>
        <w:tc>
          <w:tcPr>
            <w:tcW w:w="2400" w:type="dxa"/>
            <w:tcMar>
              <w:left w:w="57" w:type="dxa"/>
              <w:right w:w="57" w:type="dxa"/>
            </w:tcMar>
          </w:tcPr>
          <w:p w:rsidR="00853C1E" w:rsidRDefault="00853C1E">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853C1E" w:rsidRDefault="00853C1E">
            <w:pPr>
              <w:numPr>
                <w:ilvl w:val="0"/>
                <w:numId w:val="5"/>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公司法</w:t>
            </w:r>
          </w:p>
          <w:p w:rsidR="00853C1E" w:rsidRDefault="00853C1E">
            <w:pPr>
              <w:numPr>
                <w:ilvl w:val="0"/>
                <w:numId w:val="5"/>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會計制度</w:t>
            </w:r>
          </w:p>
          <w:p w:rsidR="00853C1E" w:rsidRDefault="00853C1E">
            <w:pPr>
              <w:numPr>
                <w:ilvl w:val="0"/>
                <w:numId w:val="5"/>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szCs w:val="24"/>
              </w:rPr>
              <w:t>公司章程</w:t>
            </w:r>
          </w:p>
          <w:p w:rsidR="00853C1E" w:rsidRDefault="00853C1E">
            <w:pPr>
              <w:numPr>
                <w:ilvl w:val="0"/>
                <w:numId w:val="5"/>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rPr>
              <w:t>一般公認會</w:t>
            </w:r>
            <w:r>
              <w:rPr>
                <w:rFonts w:ascii="Arial" w:eastAsia="標楷體" w:hAnsi="標楷體" w:cs="Arial"/>
              </w:rPr>
              <w:t>計</w:t>
            </w:r>
            <w:r>
              <w:rPr>
                <w:rFonts w:ascii="Arial" w:eastAsia="標楷體" w:hAnsi="標楷體" w:cs="Arial" w:hint="eastAsia"/>
              </w:rPr>
              <w:t>原</w:t>
            </w:r>
            <w:r>
              <w:rPr>
                <w:rFonts w:ascii="Arial" w:eastAsia="標楷體" w:hAnsi="標楷體" w:cs="Arial"/>
              </w:rPr>
              <w:t>則</w:t>
            </w:r>
          </w:p>
          <w:p w:rsidR="00853C1E" w:rsidRDefault="00853C1E">
            <w:pPr>
              <w:numPr>
                <w:ilvl w:val="0"/>
                <w:numId w:val="5"/>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期貨</w:t>
            </w:r>
            <w:r>
              <w:rPr>
                <w:rFonts w:ascii="Arial" w:eastAsia="標楷體" w:hAnsi="標楷體" w:cs="Arial" w:hint="eastAsia"/>
                <w:szCs w:val="24"/>
              </w:rPr>
              <w:t>信託事業</w:t>
            </w:r>
            <w:r>
              <w:rPr>
                <w:rFonts w:ascii="Arial" w:eastAsia="標楷體" w:hAnsi="標楷體" w:cs="Arial"/>
                <w:szCs w:val="24"/>
              </w:rPr>
              <w:t>管理規則第</w:t>
            </w:r>
            <w:r>
              <w:rPr>
                <w:rFonts w:ascii="Arial" w:eastAsia="標楷體" w:hAnsi="Arial" w:cs="Arial" w:hint="eastAsia"/>
                <w:szCs w:val="24"/>
              </w:rPr>
              <w:t>19</w:t>
            </w:r>
            <w:r>
              <w:rPr>
                <w:rFonts w:ascii="Arial" w:eastAsia="標楷體" w:hAnsi="標楷體" w:cs="Arial"/>
                <w:szCs w:val="24"/>
              </w:rPr>
              <w:t>條</w:t>
            </w:r>
          </w:p>
          <w:p w:rsidR="00853C1E" w:rsidRDefault="00853C1E">
            <w:pPr>
              <w:numPr>
                <w:ilvl w:val="0"/>
                <w:numId w:val="5"/>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公開發行公司取得或處分資產處理準則</w:t>
            </w:r>
          </w:p>
          <w:p w:rsidR="00853C1E" w:rsidRDefault="00853C1E">
            <w:pPr>
              <w:spacing w:line="400" w:lineRule="exact"/>
              <w:ind w:left="28" w:right="28"/>
              <w:rPr>
                <w:rFonts w:ascii="Arial" w:eastAsia="標楷體" w:hAnsi="Arial" w:cs="Arial"/>
                <w:bCs/>
                <w:szCs w:val="24"/>
              </w:rPr>
            </w:pPr>
          </w:p>
          <w:p w:rsidR="00853C1E" w:rsidRDefault="00853C1E">
            <w:pPr>
              <w:spacing w:line="400" w:lineRule="exact"/>
              <w:ind w:left="28" w:right="28"/>
              <w:rPr>
                <w:rFonts w:ascii="Arial" w:eastAsia="標楷體" w:hAnsi="Arial" w:cs="Arial"/>
                <w:bCs/>
                <w:szCs w:val="24"/>
              </w:rPr>
            </w:pPr>
            <w:r>
              <w:rPr>
                <w:rFonts w:ascii="Arial" w:eastAsia="標楷體" w:hAnsi="標楷體" w:cs="Arial"/>
                <w:szCs w:val="24"/>
              </w:rPr>
              <w:t>使用表單：</w:t>
            </w:r>
          </w:p>
          <w:p w:rsidR="00853C1E" w:rsidRDefault="00853C1E">
            <w:pPr>
              <w:numPr>
                <w:ilvl w:val="0"/>
                <w:numId w:val="10"/>
              </w:numPr>
              <w:spacing w:line="400" w:lineRule="exact"/>
              <w:ind w:right="28"/>
              <w:rPr>
                <w:rFonts w:ascii="Arial" w:eastAsia="標楷體" w:hAnsi="Arial" w:cs="Arial" w:hint="eastAsia"/>
                <w:bCs/>
                <w:szCs w:val="24"/>
              </w:rPr>
            </w:pPr>
            <w:r>
              <w:rPr>
                <w:rFonts w:ascii="Arial" w:eastAsia="標楷體" w:hAnsi="標楷體" w:cs="Arial"/>
                <w:szCs w:val="24"/>
              </w:rPr>
              <w:t>投資取得（處分）申請單</w:t>
            </w:r>
          </w:p>
          <w:p w:rsidR="00853C1E" w:rsidRDefault="00853C1E">
            <w:pPr>
              <w:numPr>
                <w:ilvl w:val="0"/>
                <w:numId w:val="10"/>
              </w:numPr>
              <w:spacing w:line="400" w:lineRule="exact"/>
              <w:ind w:right="28"/>
              <w:rPr>
                <w:rFonts w:ascii="Arial" w:eastAsia="標楷體" w:hAnsi="Arial" w:cs="Arial" w:hint="eastAsia"/>
                <w:bCs/>
                <w:szCs w:val="24"/>
              </w:rPr>
            </w:pPr>
            <w:r>
              <w:rPr>
                <w:rFonts w:ascii="Arial" w:eastAsia="標楷體" w:hAnsi="標楷體" w:cs="Arial"/>
                <w:szCs w:val="24"/>
              </w:rPr>
              <w:t>簽呈</w:t>
            </w:r>
          </w:p>
          <w:p w:rsidR="00853C1E" w:rsidRDefault="00853C1E">
            <w:pPr>
              <w:spacing w:line="400" w:lineRule="exact"/>
              <w:ind w:left="28" w:right="28"/>
              <w:rPr>
                <w:rFonts w:ascii="Arial" w:eastAsia="標楷體" w:hAnsi="Arial" w:cs="Arial"/>
                <w:bCs/>
                <w:szCs w:val="24"/>
              </w:rPr>
            </w:pPr>
          </w:p>
          <w:p w:rsidR="00853C1E" w:rsidRDefault="00853C1E">
            <w:pPr>
              <w:spacing w:line="400" w:lineRule="exact"/>
              <w:ind w:left="28" w:right="28"/>
              <w:rPr>
                <w:rFonts w:ascii="Arial" w:eastAsia="標楷體" w:hAnsi="Arial" w:cs="Arial"/>
                <w:bCs/>
                <w:szCs w:val="24"/>
              </w:rPr>
            </w:pPr>
          </w:p>
        </w:tc>
      </w:tr>
    </w:tbl>
    <w:p w:rsidR="00853C1E" w:rsidRDefault="00853C1E">
      <w:pPr>
        <w:spacing w:line="400" w:lineRule="exact"/>
        <w:rPr>
          <w:rFonts w:ascii="Arial" w:eastAsia="標楷體" w:hAnsi="Arial" w:cs="Arial"/>
          <w:szCs w:val="24"/>
        </w:rPr>
      </w:pPr>
    </w:p>
    <w:p w:rsidR="00853C1E" w:rsidRDefault="00853C1E">
      <w:pPr>
        <w:spacing w:line="400" w:lineRule="exact"/>
        <w:rPr>
          <w:rFonts w:ascii="Arial" w:eastAsia="標楷體" w:hAnsi="Arial" w:cs="Arial"/>
          <w:szCs w:val="24"/>
        </w:rPr>
      </w:pPr>
    </w:p>
    <w:p w:rsidR="00853C1E" w:rsidRDefault="00853C1E">
      <w:pPr>
        <w:spacing w:line="400" w:lineRule="exact"/>
        <w:rPr>
          <w:rFonts w:ascii="Arial" w:eastAsia="標楷體" w:hAnsi="Arial" w:cs="Arial" w:hint="eastAsia"/>
          <w:szCs w:val="24"/>
        </w:rPr>
      </w:pPr>
    </w:p>
    <w:p w:rsidR="00853C1E" w:rsidRDefault="00853C1E">
      <w:pPr>
        <w:spacing w:line="400" w:lineRule="exact"/>
        <w:rPr>
          <w:rFonts w:ascii="Arial" w:eastAsia="標楷體" w:hAnsi="Arial" w:cs="Arial" w:hint="eastAsia"/>
          <w:szCs w:val="24"/>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spacing w:line="400" w:lineRule="exact"/>
        <w:rPr>
          <w:rFonts w:ascii="Arial" w:eastAsia="標楷體" w:hAnsi="Arial" w:cs="Arial" w:hint="eastAsia"/>
          <w:sz w:val="40"/>
          <w:szCs w:val="40"/>
        </w:rPr>
      </w:pPr>
    </w:p>
    <w:p w:rsidR="00853C1E" w:rsidRDefault="00853C1E">
      <w:pPr>
        <w:pStyle w:val="10"/>
        <w:numPr>
          <w:ilvl w:val="0"/>
          <w:numId w:val="1"/>
        </w:numPr>
        <w:tabs>
          <w:tab w:val="left" w:pos="1080"/>
        </w:tabs>
        <w:spacing w:before="0" w:after="0" w:line="400" w:lineRule="exact"/>
        <w:jc w:val="center"/>
        <w:rPr>
          <w:rFonts w:eastAsia="標楷體" w:cs="Arial"/>
          <w:b w:val="0"/>
          <w:sz w:val="40"/>
          <w:szCs w:val="40"/>
        </w:rPr>
      </w:pPr>
      <w:bookmarkStart w:id="3" w:name="_Toc196726900"/>
      <w:r>
        <w:rPr>
          <w:rFonts w:eastAsia="標楷體" w:cs="Arial"/>
          <w:b w:val="0"/>
          <w:sz w:val="40"/>
          <w:szCs w:val="40"/>
        </w:rPr>
        <w:t>投資取得</w:t>
      </w:r>
      <w:r>
        <w:rPr>
          <w:rFonts w:eastAsia="標楷體" w:cs="Arial" w:hint="eastAsia"/>
          <w:b w:val="0"/>
          <w:sz w:val="40"/>
          <w:szCs w:val="40"/>
        </w:rPr>
        <w:t>與處分</w:t>
      </w:r>
      <w:r>
        <w:rPr>
          <w:rFonts w:eastAsia="標楷體" w:cs="Arial"/>
          <w:b w:val="0"/>
          <w:sz w:val="40"/>
          <w:szCs w:val="40"/>
        </w:rPr>
        <w:t>作業：</w:t>
      </w:r>
      <w:r>
        <w:rPr>
          <w:rFonts w:eastAsia="標楷體" w:cs="Arial"/>
          <w:b w:val="0"/>
          <w:sz w:val="40"/>
          <w:szCs w:val="40"/>
        </w:rPr>
        <w:t>CI-10200</w:t>
      </w:r>
      <w:bookmarkEnd w:id="3"/>
    </w:p>
    <w:p w:rsidR="00853C1E" w:rsidRDefault="00853C1E">
      <w:pPr>
        <w:spacing w:line="400" w:lineRule="exact"/>
        <w:rPr>
          <w:rFonts w:ascii="Arial" w:eastAsia="標楷體" w:hAnsi="Arial" w:cs="Arial"/>
          <w:sz w:val="40"/>
          <w:szCs w:val="40"/>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800"/>
        <w:gridCol w:w="9600"/>
        <w:gridCol w:w="2400"/>
      </w:tblGrid>
      <w:tr w:rsidR="00853C1E">
        <w:tblPrEx>
          <w:tblCellMar>
            <w:top w:w="0" w:type="dxa"/>
            <w:bottom w:w="0" w:type="dxa"/>
          </w:tblCellMar>
        </w:tblPrEx>
        <w:trPr>
          <w:cantSplit/>
          <w:trHeight w:val="331"/>
          <w:tblHeader/>
        </w:trPr>
        <w:tc>
          <w:tcPr>
            <w:tcW w:w="1348"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853C1E">
        <w:tblPrEx>
          <w:tblCellMar>
            <w:top w:w="0" w:type="dxa"/>
            <w:bottom w:w="0" w:type="dxa"/>
          </w:tblCellMar>
        </w:tblPrEx>
        <w:tc>
          <w:tcPr>
            <w:tcW w:w="1348" w:type="dxa"/>
            <w:tcMar>
              <w:left w:w="57" w:type="dxa"/>
              <w:right w:w="57" w:type="dxa"/>
            </w:tcMar>
          </w:tcPr>
          <w:p w:rsidR="00853C1E" w:rsidRDefault="00853C1E">
            <w:pPr>
              <w:spacing w:line="400" w:lineRule="exact"/>
              <w:jc w:val="both"/>
              <w:rPr>
                <w:rFonts w:ascii="Arial" w:eastAsia="標楷體" w:hAnsi="Arial" w:cs="Arial"/>
                <w:szCs w:val="24"/>
              </w:rPr>
            </w:pPr>
            <w:r>
              <w:rPr>
                <w:rFonts w:ascii="Arial" w:eastAsia="標楷體" w:hAnsi="Arial" w:cs="Arial"/>
                <w:szCs w:val="24"/>
              </w:rPr>
              <w:t>CI-10200</w:t>
            </w:r>
          </w:p>
          <w:p w:rsidR="00853C1E" w:rsidRDefault="00853C1E">
            <w:pPr>
              <w:spacing w:line="400" w:lineRule="exact"/>
              <w:jc w:val="both"/>
              <w:rPr>
                <w:rFonts w:ascii="Arial" w:eastAsia="標楷體" w:hAnsi="Arial" w:cs="Arial"/>
                <w:szCs w:val="24"/>
              </w:rPr>
            </w:pPr>
          </w:p>
        </w:tc>
        <w:tc>
          <w:tcPr>
            <w:tcW w:w="1800" w:type="dxa"/>
            <w:tcMar>
              <w:left w:w="57" w:type="dxa"/>
              <w:right w:w="57" w:type="dxa"/>
            </w:tcMar>
          </w:tcPr>
          <w:p w:rsidR="00853C1E" w:rsidRDefault="00853C1E">
            <w:pPr>
              <w:spacing w:line="400" w:lineRule="exact"/>
              <w:ind w:left="28" w:right="28"/>
              <w:jc w:val="both"/>
              <w:rPr>
                <w:rFonts w:ascii="Arial" w:eastAsia="標楷體" w:hAnsi="Arial" w:cs="Arial"/>
                <w:szCs w:val="24"/>
              </w:rPr>
            </w:pPr>
            <w:r>
              <w:rPr>
                <w:rFonts w:ascii="Arial" w:eastAsia="標楷體" w:hAnsi="標楷體" w:cs="Arial"/>
                <w:szCs w:val="24"/>
              </w:rPr>
              <w:t>投資取得</w:t>
            </w:r>
            <w:r>
              <w:rPr>
                <w:rFonts w:ascii="Arial" w:eastAsia="標楷體" w:hAnsi="標楷體" w:cs="Arial" w:hint="eastAsia"/>
                <w:szCs w:val="24"/>
              </w:rPr>
              <w:t>與處分</w:t>
            </w:r>
            <w:r>
              <w:rPr>
                <w:rFonts w:ascii="Arial" w:eastAsia="標楷體" w:hAnsi="標楷體" w:cs="Arial"/>
                <w:szCs w:val="24"/>
              </w:rPr>
              <w:t>作業</w:t>
            </w:r>
          </w:p>
          <w:p w:rsidR="00853C1E" w:rsidRDefault="00853C1E">
            <w:pPr>
              <w:spacing w:line="400" w:lineRule="exact"/>
              <w:ind w:left="28" w:right="28"/>
              <w:jc w:val="both"/>
              <w:rPr>
                <w:rFonts w:ascii="Arial" w:eastAsia="標楷體" w:hAnsi="Arial" w:cs="Arial"/>
                <w:szCs w:val="24"/>
              </w:rPr>
            </w:pPr>
          </w:p>
        </w:tc>
        <w:tc>
          <w:tcPr>
            <w:tcW w:w="9600" w:type="dxa"/>
            <w:tcMar>
              <w:left w:w="57" w:type="dxa"/>
              <w:right w:w="57" w:type="dxa"/>
            </w:tcMar>
          </w:tcPr>
          <w:p w:rsidR="00853C1E" w:rsidRDefault="00853C1E">
            <w:pPr>
              <w:pStyle w:val="1"/>
              <w:numPr>
                <w:ilvl w:val="0"/>
                <w:numId w:val="2"/>
              </w:numPr>
              <w:spacing w:line="400" w:lineRule="exact"/>
              <w:jc w:val="both"/>
              <w:rPr>
                <w:rFonts w:ascii="Arial" w:hAnsi="Arial" w:cs="Arial"/>
                <w:szCs w:val="24"/>
              </w:rPr>
            </w:pPr>
            <w:r>
              <w:rPr>
                <w:rFonts w:ascii="Arial" w:cs="Arial"/>
                <w:szCs w:val="24"/>
              </w:rPr>
              <w:t>作業程序：</w:t>
            </w:r>
          </w:p>
          <w:p w:rsidR="00853C1E" w:rsidRDefault="00853C1E">
            <w:pPr>
              <w:numPr>
                <w:ilvl w:val="1"/>
                <w:numId w:val="2"/>
              </w:numPr>
              <w:spacing w:line="400" w:lineRule="exact"/>
              <w:jc w:val="both"/>
              <w:rPr>
                <w:rFonts w:ascii="Arial" w:eastAsia="標楷體" w:hAnsi="Arial" w:cs="Arial" w:hint="eastAsia"/>
                <w:szCs w:val="24"/>
              </w:rPr>
            </w:pPr>
            <w:r>
              <w:rPr>
                <w:rFonts w:ascii="Arial" w:eastAsia="標楷體" w:hAnsi="標楷體" w:cs="Arial"/>
                <w:szCs w:val="24"/>
              </w:rPr>
              <w:t>購買有價證券及轉投資不得違反期貨</w:t>
            </w:r>
            <w:r>
              <w:rPr>
                <w:rFonts w:ascii="Arial" w:eastAsia="標楷體" w:hAnsi="標楷體" w:cs="Arial" w:hint="eastAsia"/>
                <w:szCs w:val="24"/>
              </w:rPr>
              <w:t>信託事業</w:t>
            </w:r>
            <w:r>
              <w:rPr>
                <w:rFonts w:ascii="Arial" w:eastAsia="標楷體" w:hAnsi="標楷體" w:cs="Arial"/>
                <w:szCs w:val="24"/>
              </w:rPr>
              <w:t>管理規則第</w:t>
            </w:r>
            <w:r>
              <w:rPr>
                <w:rFonts w:ascii="Arial" w:eastAsia="標楷體" w:hAnsi="Arial" w:cs="Arial" w:hint="eastAsia"/>
                <w:szCs w:val="24"/>
              </w:rPr>
              <w:t>十九</w:t>
            </w:r>
            <w:r>
              <w:rPr>
                <w:rFonts w:ascii="Arial" w:eastAsia="標楷體" w:hAnsi="標楷體" w:cs="Arial"/>
                <w:szCs w:val="24"/>
              </w:rPr>
              <w:t>條及其他期貨管理相關規定之限制。</w:t>
            </w:r>
          </w:p>
          <w:p w:rsidR="00853C1E" w:rsidRDefault="00853C1E">
            <w:pPr>
              <w:numPr>
                <w:ilvl w:val="1"/>
                <w:numId w:val="2"/>
              </w:numPr>
              <w:spacing w:line="400" w:lineRule="exact"/>
              <w:jc w:val="both"/>
              <w:rPr>
                <w:rFonts w:ascii="Arial" w:eastAsia="標楷體" w:hAnsi="Arial" w:cs="Arial" w:hint="eastAsia"/>
                <w:szCs w:val="24"/>
              </w:rPr>
            </w:pPr>
            <w:r>
              <w:rPr>
                <w:rFonts w:ascii="Arial" w:eastAsia="標楷體" w:hAnsi="標楷體" w:cs="Arial"/>
                <w:szCs w:val="24"/>
              </w:rPr>
              <w:t>投資資產之取得計劃</w:t>
            </w:r>
            <w:r>
              <w:rPr>
                <w:rFonts w:ascii="Arial" w:eastAsia="標楷體" w:hAnsi="標楷體" w:cs="Arial" w:hint="eastAsia"/>
                <w:szCs w:val="24"/>
              </w:rPr>
              <w:t>若</w:t>
            </w:r>
            <w:r>
              <w:rPr>
                <w:rFonts w:ascii="Arial" w:eastAsia="標楷體" w:hAnsi="標楷體" w:cs="Arial"/>
                <w:szCs w:val="24"/>
              </w:rPr>
              <w:t>屬公司法第一百八十五條規定之情事者，須報請股東會同意後方可執行之。</w:t>
            </w:r>
          </w:p>
          <w:p w:rsidR="00853C1E" w:rsidRDefault="00853C1E">
            <w:pPr>
              <w:numPr>
                <w:ilvl w:val="1"/>
                <w:numId w:val="2"/>
              </w:numPr>
              <w:spacing w:line="400" w:lineRule="exact"/>
              <w:jc w:val="both"/>
              <w:rPr>
                <w:rFonts w:ascii="Arial" w:eastAsia="標楷體" w:hAnsi="Arial" w:cs="Arial" w:hint="eastAsia"/>
                <w:szCs w:val="24"/>
              </w:rPr>
            </w:pPr>
            <w:r>
              <w:rPr>
                <w:rFonts w:ascii="Arial" w:eastAsia="標楷體" w:hAnsi="標楷體" w:cs="Arial"/>
              </w:rPr>
              <w:t>執行</w:t>
            </w:r>
            <w:r>
              <w:rPr>
                <w:rFonts w:ascii="Arial" w:eastAsia="標楷體" w:hAnsi="標楷體" w:cs="Arial" w:hint="eastAsia"/>
              </w:rPr>
              <w:t>有價證券投資交易時</w:t>
            </w:r>
            <w:r>
              <w:rPr>
                <w:rFonts w:ascii="Arial" w:eastAsia="標楷體" w:hAnsi="標楷體" w:cs="Arial" w:hint="eastAsia"/>
                <w:szCs w:val="24"/>
              </w:rPr>
              <w:t>：</w:t>
            </w:r>
          </w:p>
          <w:p w:rsidR="00853C1E" w:rsidRDefault="00853C1E">
            <w:pPr>
              <w:numPr>
                <w:ilvl w:val="0"/>
                <w:numId w:val="18"/>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szCs w:val="24"/>
              </w:rPr>
              <w:t>僅有經過公司核准之財務承辦人員得以進行有價證券之買賣及交割行為</w:t>
            </w:r>
            <w:r>
              <w:rPr>
                <w:rFonts w:ascii="Arial" w:eastAsia="標楷體" w:hAnsi="標楷體" w:cs="Arial" w:hint="eastAsia"/>
              </w:rPr>
              <w:t>。</w:t>
            </w:r>
          </w:p>
          <w:p w:rsidR="00853C1E" w:rsidRDefault="00853C1E">
            <w:pPr>
              <w:numPr>
                <w:ilvl w:val="0"/>
                <w:numId w:val="18"/>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財務承辦人員按照公司已核准之投資標的及投資決策向金融機構</w:t>
            </w:r>
            <w:r>
              <w:rPr>
                <w:rFonts w:ascii="Arial" w:eastAsia="標楷體" w:hAnsi="標楷體" w:cs="Arial"/>
              </w:rPr>
              <w:t>、</w:t>
            </w:r>
            <w:r>
              <w:rPr>
                <w:rFonts w:ascii="Arial" w:eastAsia="標楷體" w:hAnsi="標楷體" w:cs="Arial" w:hint="eastAsia"/>
              </w:rPr>
              <w:t>證券公司預定之對象等提出投資買賣並將其相關之交易憑證</w:t>
            </w:r>
            <w:r>
              <w:rPr>
                <w:rFonts w:ascii="Arial" w:eastAsia="標楷體" w:hAnsi="標楷體" w:cs="Arial"/>
              </w:rPr>
              <w:t>、</w:t>
            </w:r>
            <w:r>
              <w:rPr>
                <w:rFonts w:ascii="Arial" w:eastAsia="標楷體" w:hAnsi="標楷體" w:cs="Arial" w:hint="eastAsia"/>
              </w:rPr>
              <w:t>交割證明及合約等投資文件保存以供核對及入帳之用。</w:t>
            </w:r>
          </w:p>
          <w:p w:rsidR="00853C1E" w:rsidRDefault="00853C1E">
            <w:pPr>
              <w:numPr>
                <w:ilvl w:val="0"/>
                <w:numId w:val="18"/>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除無記名公債外</w:t>
            </w:r>
            <w:r>
              <w:rPr>
                <w:rFonts w:ascii="Arial" w:eastAsia="標楷體" w:hAnsi="標楷體" w:cs="Arial"/>
              </w:rPr>
              <w:t>，</w:t>
            </w:r>
            <w:r>
              <w:rPr>
                <w:rFonts w:ascii="Arial" w:eastAsia="標楷體" w:hAnsi="標楷體" w:cs="Arial" w:hint="eastAsia"/>
              </w:rPr>
              <w:t>持有之有價證券應以公司名義登記。</w:t>
            </w:r>
          </w:p>
          <w:p w:rsidR="00853C1E" w:rsidRDefault="00853C1E">
            <w:pPr>
              <w:numPr>
                <w:ilvl w:val="0"/>
                <w:numId w:val="18"/>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財務人員須將</w:t>
            </w:r>
            <w:r>
              <w:rPr>
                <w:rFonts w:ascii="Arial" w:eastAsia="標楷體" w:hAnsi="標楷體" w:cs="Arial" w:hint="eastAsia"/>
              </w:rPr>
              <w:t>有價證券</w:t>
            </w:r>
            <w:r>
              <w:rPr>
                <w:rFonts w:ascii="Arial" w:eastAsia="標楷體" w:hAnsi="標楷體" w:cs="Arial"/>
              </w:rPr>
              <w:t>投資之明細列表管理</w:t>
            </w:r>
            <w:r>
              <w:rPr>
                <w:rFonts w:ascii="Arial" w:eastAsia="標楷體" w:hAnsi="標楷體" w:cs="Arial" w:hint="eastAsia"/>
              </w:rPr>
              <w:t>。</w:t>
            </w:r>
          </w:p>
          <w:p w:rsidR="00853C1E" w:rsidRDefault="00853C1E">
            <w:pPr>
              <w:numPr>
                <w:ilvl w:val="0"/>
                <w:numId w:val="18"/>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投資買賣作業進行時，遇有投資成本與收益等項目與</w:t>
            </w:r>
            <w:r>
              <w:rPr>
                <w:rFonts w:ascii="Arial" w:eastAsia="標楷體" w:hAnsi="標楷體" w:cs="Arial" w:hint="eastAsia"/>
              </w:rPr>
              <w:t>管理階層</w:t>
            </w:r>
            <w:r>
              <w:rPr>
                <w:rFonts w:ascii="Arial" w:eastAsia="標楷體" w:hAnsi="標楷體" w:cs="Arial"/>
              </w:rPr>
              <w:t>核准之投資計</w:t>
            </w:r>
            <w:r>
              <w:rPr>
                <w:rFonts w:ascii="Arial" w:eastAsia="標楷體" w:hAnsi="標楷體" w:cs="Arial" w:hint="eastAsia"/>
              </w:rPr>
              <w:t>劃</w:t>
            </w:r>
            <w:r>
              <w:rPr>
                <w:rFonts w:ascii="Arial" w:eastAsia="標楷體" w:hAnsi="標楷體" w:cs="Arial"/>
              </w:rPr>
              <w:t>有不符之情事者或其他因素致無法依原訂之投資計畫進行時，應即修正計</w:t>
            </w:r>
            <w:r>
              <w:rPr>
                <w:rFonts w:ascii="Arial" w:eastAsia="標楷體" w:hAnsi="標楷體" w:cs="Arial" w:hint="eastAsia"/>
              </w:rPr>
              <w:t>劃</w:t>
            </w:r>
            <w:r>
              <w:rPr>
                <w:rFonts w:ascii="Arial" w:eastAsia="標楷體" w:hAnsi="標楷體" w:cs="Arial"/>
              </w:rPr>
              <w:t>，重提並呈報</w:t>
            </w:r>
            <w:r>
              <w:rPr>
                <w:rFonts w:ascii="Arial" w:eastAsia="標楷體" w:hAnsi="標楷體" w:cs="Arial" w:hint="eastAsia"/>
              </w:rPr>
              <w:t>權責主管</w:t>
            </w:r>
            <w:r>
              <w:rPr>
                <w:rFonts w:ascii="Arial" w:eastAsia="標楷體" w:hAnsi="標楷體" w:cs="Arial"/>
              </w:rPr>
              <w:t>裁決</w:t>
            </w:r>
            <w:r>
              <w:rPr>
                <w:rFonts w:ascii="Arial" w:eastAsia="標楷體" w:hAnsi="標楷體" w:cs="Arial" w:hint="eastAsia"/>
              </w:rPr>
              <w:t>。</w:t>
            </w:r>
          </w:p>
          <w:p w:rsidR="00853C1E" w:rsidRDefault="00853C1E">
            <w:pPr>
              <w:numPr>
                <w:ilvl w:val="1"/>
                <w:numId w:val="2"/>
              </w:numPr>
              <w:spacing w:line="400" w:lineRule="exact"/>
              <w:jc w:val="both"/>
              <w:rPr>
                <w:rFonts w:ascii="Arial" w:eastAsia="標楷體" w:hAnsi="Arial" w:cs="Arial" w:hint="eastAsia"/>
                <w:szCs w:val="24"/>
              </w:rPr>
            </w:pPr>
            <w:r>
              <w:rPr>
                <w:rFonts w:ascii="Arial" w:eastAsia="標楷體" w:hAnsi="標楷體" w:cs="Arial"/>
              </w:rPr>
              <w:t>執行衍生性金融商品交易</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szCs w:val="24"/>
              </w:rPr>
              <w:t>應以經主管機關核准之項目為限。若公司有執行衍生性金融商品交易時應參考下列之內部控制程序</w:t>
            </w:r>
            <w:r>
              <w:rPr>
                <w:rFonts w:ascii="Arial" w:eastAsia="標楷體" w:hAnsi="Arial" w:cs="Arial" w:hint="eastAsia"/>
                <w:szCs w:val="24"/>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財務單位按公司本身之營業額、外匯收支預計表，確定外匯部位後，訂立每期</w:t>
            </w:r>
            <w:r>
              <w:rPr>
                <w:rFonts w:ascii="標楷體" w:eastAsia="標楷體" w:hAnsi="標楷體" w:cs="Arial"/>
              </w:rPr>
              <w:t>(每月或每季)</w:t>
            </w:r>
            <w:r>
              <w:rPr>
                <w:rFonts w:ascii="Arial" w:eastAsia="標楷體" w:hAnsi="標楷體" w:cs="Arial"/>
              </w:rPr>
              <w:t>必須避險之底限，提出未來之操作策略，提請</w:t>
            </w:r>
            <w:r>
              <w:rPr>
                <w:rFonts w:ascii="Arial" w:eastAsia="標楷體" w:hAnsi="標楷體" w:cs="Arial" w:hint="eastAsia"/>
              </w:rPr>
              <w:t>權責主管</w:t>
            </w:r>
            <w:r>
              <w:rPr>
                <w:rFonts w:ascii="Arial" w:eastAsia="標楷體" w:hAnsi="標楷體" w:cs="Arial"/>
              </w:rPr>
              <w:t>核准後，依策略進行操作</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lastRenderedPageBreak/>
              <w:t>財務單位應以公司帳面上匯率成本與從事衍生性商品交易之間產生損益為績效評估基礎，至少每週應評估一次衍生性商品交易所持有之部位，惟若為業務需要辦理之避險性交易至少每月應評估二次，其評估報告應呈</w:t>
            </w:r>
            <w:r>
              <w:rPr>
                <w:rFonts w:ascii="Arial" w:eastAsia="標楷體" w:hAnsi="標楷體" w:cs="Arial" w:hint="eastAsia"/>
              </w:rPr>
              <w:t>權責主管覆核。</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財務單位應掌握公司整體部位，以規避交易風險，避險性交易金額以不超過當期外匯收支金額為限</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從事衍生性商品交易之交易人員及確認、交割等作業人員不得互相兼任，並需經適當授權</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負責交易確認人員需定期將每筆交易之函證信寄至交易對象及經紀人以核對交易明細與總額，並注意交易總額，是否超過規定之契約總額，且需將函證資料與現存交易合約相調節</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財務人員應建立備查簿，就從事衍生性商品交易之種類、金額、</w:t>
            </w:r>
            <w:r>
              <w:rPr>
                <w:rFonts w:ascii="Arial" w:eastAsia="標楷體" w:hAnsi="標楷體" w:cs="Arial" w:hint="eastAsia"/>
              </w:rPr>
              <w:t>董事長核准</w:t>
            </w:r>
            <w:r>
              <w:rPr>
                <w:rFonts w:ascii="Arial" w:eastAsia="標楷體" w:hAnsi="標楷體" w:cs="Arial"/>
              </w:rPr>
              <w:t>通過日期及應審慎評估之事項，詳予登載於備查簿備查</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會計人員應進行衍生性商品交易之會計處理，依一般公認會計原則暨有關法令，以完整的帳簿憑證與會計記錄，將其處理方式允當表達交易過程與損益結果</w:t>
            </w:r>
            <w:r>
              <w:rPr>
                <w:rFonts w:ascii="Arial" w:eastAsia="標楷體" w:hAnsi="標楷體" w:cs="Arial" w:hint="eastAsia"/>
              </w:rPr>
              <w:t>。</w:t>
            </w:r>
          </w:p>
          <w:p w:rsidR="00853C1E" w:rsidRDefault="00853C1E">
            <w:pPr>
              <w:numPr>
                <w:ilvl w:val="0"/>
                <w:numId w:val="19"/>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董事</w:t>
            </w:r>
            <w:r>
              <w:rPr>
                <w:rFonts w:ascii="Arial" w:eastAsia="標楷體" w:hAnsi="標楷體" w:cs="Arial" w:hint="eastAsia"/>
              </w:rPr>
              <w:t>長</w:t>
            </w:r>
            <w:r>
              <w:rPr>
                <w:rFonts w:ascii="Arial" w:eastAsia="標楷體" w:hAnsi="標楷體" w:cs="Arial"/>
              </w:rPr>
              <w:t>授權之高階主管人員應監督交易及損益情形，發現有異常情事時，應採取必要之因應措施，並立即向董事</w:t>
            </w:r>
            <w:r>
              <w:rPr>
                <w:rFonts w:ascii="Arial" w:eastAsia="標楷體" w:hAnsi="標楷體" w:cs="Arial" w:hint="eastAsia"/>
              </w:rPr>
              <w:t>長</w:t>
            </w:r>
            <w:r>
              <w:rPr>
                <w:rFonts w:ascii="Arial" w:eastAsia="標楷體" w:hAnsi="標楷體" w:cs="Arial"/>
              </w:rPr>
              <w:t>報告</w:t>
            </w:r>
            <w:r>
              <w:rPr>
                <w:rFonts w:ascii="Arial" w:eastAsia="標楷體" w:hAnsi="標楷體" w:cs="Arial" w:hint="eastAsia"/>
              </w:rPr>
              <w:t>。</w:t>
            </w:r>
          </w:p>
          <w:p w:rsidR="00853C1E" w:rsidRDefault="00853C1E">
            <w:pPr>
              <w:numPr>
                <w:ilvl w:val="0"/>
                <w:numId w:val="19"/>
              </w:numPr>
              <w:tabs>
                <w:tab w:val="clear" w:pos="908"/>
                <w:tab w:val="num" w:pos="1392"/>
                <w:tab w:val="left" w:pos="1512"/>
              </w:tabs>
              <w:spacing w:line="400" w:lineRule="exact"/>
              <w:ind w:left="1392" w:hanging="240"/>
              <w:jc w:val="both"/>
              <w:rPr>
                <w:rFonts w:ascii="Arial" w:eastAsia="標楷體" w:hAnsi="Arial" w:cs="Arial" w:hint="eastAsia"/>
                <w:szCs w:val="24"/>
              </w:rPr>
            </w:pPr>
            <w:r>
              <w:rPr>
                <w:rFonts w:ascii="Arial" w:eastAsia="標楷體" w:hAnsi="標楷體" w:cs="Arial"/>
              </w:rPr>
              <w:t>交易相關資料之輸入需設有輸入及驗證控制，以確定資料之完整及正確性</w:t>
            </w:r>
            <w:r>
              <w:rPr>
                <w:rFonts w:ascii="Arial" w:eastAsia="標楷體" w:hAnsi="標楷體" w:cs="Arial" w:hint="eastAsia"/>
              </w:rPr>
              <w:t>。</w:t>
            </w:r>
          </w:p>
          <w:p w:rsidR="00853C1E" w:rsidRDefault="00853C1E">
            <w:pPr>
              <w:numPr>
                <w:ilvl w:val="0"/>
                <w:numId w:val="19"/>
              </w:numPr>
              <w:tabs>
                <w:tab w:val="clear" w:pos="908"/>
                <w:tab w:val="num" w:pos="1392"/>
                <w:tab w:val="left" w:pos="1512"/>
              </w:tabs>
              <w:spacing w:line="400" w:lineRule="exact"/>
              <w:ind w:left="1392" w:hanging="240"/>
              <w:jc w:val="both"/>
              <w:rPr>
                <w:rFonts w:ascii="Arial" w:eastAsia="標楷體" w:hAnsi="Arial" w:cs="Arial" w:hint="eastAsia"/>
                <w:szCs w:val="24"/>
              </w:rPr>
            </w:pPr>
            <w:r>
              <w:rPr>
                <w:rFonts w:ascii="Arial" w:eastAsia="標楷體" w:hAnsi="標楷體" w:cs="Arial"/>
              </w:rPr>
              <w:t>評價模式之變更需經適當控制、記錄及測試</w:t>
            </w:r>
            <w:r>
              <w:rPr>
                <w:rFonts w:ascii="Arial" w:eastAsia="標楷體" w:hAnsi="標楷體" w:cs="Arial" w:hint="eastAsia"/>
              </w:rPr>
              <w:t>。</w:t>
            </w:r>
          </w:p>
          <w:p w:rsidR="00853C1E" w:rsidRPr="00375CFB" w:rsidRDefault="00853C1E">
            <w:pPr>
              <w:numPr>
                <w:ilvl w:val="0"/>
                <w:numId w:val="19"/>
              </w:numPr>
              <w:tabs>
                <w:tab w:val="clear" w:pos="908"/>
                <w:tab w:val="num" w:pos="1392"/>
                <w:tab w:val="left" w:pos="1512"/>
              </w:tabs>
              <w:spacing w:line="400" w:lineRule="exact"/>
              <w:ind w:left="1392" w:hanging="240"/>
              <w:jc w:val="both"/>
              <w:rPr>
                <w:rFonts w:ascii="Arial" w:eastAsia="標楷體" w:hAnsi="Arial" w:cs="Arial" w:hint="eastAsia"/>
                <w:szCs w:val="24"/>
              </w:rPr>
            </w:pPr>
            <w:r>
              <w:rPr>
                <w:rFonts w:ascii="Arial" w:eastAsia="標楷體" w:hAnsi="標楷體" w:cs="Arial"/>
              </w:rPr>
              <w:t>核准及監控交易之人員需經適當之訓練</w:t>
            </w:r>
            <w:r>
              <w:rPr>
                <w:rFonts w:ascii="Arial" w:eastAsia="標楷體" w:hAnsi="標楷體" w:cs="Arial" w:hint="eastAsia"/>
              </w:rPr>
              <w:t>。</w:t>
            </w:r>
          </w:p>
          <w:p w:rsidR="00375CFB" w:rsidRDefault="00375CFB" w:rsidP="00375CFB">
            <w:pPr>
              <w:tabs>
                <w:tab w:val="left" w:pos="1512"/>
              </w:tabs>
              <w:spacing w:line="400" w:lineRule="exact"/>
              <w:ind w:left="1152"/>
              <w:jc w:val="both"/>
              <w:rPr>
                <w:rFonts w:ascii="Arial" w:eastAsia="標楷體" w:hAnsi="Arial" w:cs="Arial" w:hint="eastAsia"/>
                <w:szCs w:val="24"/>
              </w:rPr>
            </w:pPr>
          </w:p>
          <w:p w:rsidR="00853C1E" w:rsidRDefault="00853C1E">
            <w:pPr>
              <w:pStyle w:val="1"/>
              <w:numPr>
                <w:ilvl w:val="0"/>
                <w:numId w:val="2"/>
              </w:numPr>
              <w:spacing w:line="400" w:lineRule="exact"/>
              <w:jc w:val="both"/>
              <w:rPr>
                <w:rFonts w:ascii="Arial" w:hAnsi="Arial" w:cs="Arial"/>
                <w:szCs w:val="24"/>
              </w:rPr>
            </w:pPr>
            <w:r>
              <w:rPr>
                <w:rFonts w:ascii="Arial" w:cs="Arial"/>
                <w:szCs w:val="24"/>
              </w:rPr>
              <w:lastRenderedPageBreak/>
              <w:t>控制重點：</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hint="eastAsia"/>
              </w:rPr>
              <w:t>公司進行之投資標的應依照期貨信託事業管理規則第十九條</w:t>
            </w:r>
            <w:r>
              <w:rPr>
                <w:rFonts w:ascii="Arial" w:eastAsia="標楷體" w:hAnsi="標楷體" w:cs="Arial"/>
              </w:rPr>
              <w:t>、</w:t>
            </w:r>
            <w:r>
              <w:rPr>
                <w:rFonts w:ascii="Arial" w:eastAsia="標楷體" w:hAnsi="標楷體" w:cs="Arial" w:hint="eastAsia"/>
              </w:rPr>
              <w:t>法令規範及主管機關規定。</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rPr>
              <w:t>取得或處分投資，需經</w:t>
            </w:r>
            <w:r>
              <w:rPr>
                <w:rFonts w:ascii="Arial" w:eastAsia="標楷體" w:hAnsi="標楷體" w:cs="Arial" w:hint="eastAsia"/>
              </w:rPr>
              <w:t>公司</w:t>
            </w:r>
            <w:r>
              <w:rPr>
                <w:rFonts w:ascii="Arial" w:eastAsia="標楷體" w:hAnsi="標楷體" w:cs="Arial"/>
              </w:rPr>
              <w:t>規定之權責主管審核通過</w:t>
            </w:r>
            <w:r>
              <w:rPr>
                <w:rFonts w:ascii="Arial" w:eastAsia="標楷體" w:hAnsi="標楷體" w:cs="Arial" w:hint="eastAsia"/>
              </w:rPr>
              <w:t>。</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rPr>
              <w:t>超過</w:t>
            </w:r>
            <w:r>
              <w:rPr>
                <w:rFonts w:ascii="Arial" w:eastAsia="標楷體" w:hAnsi="標楷體" w:cs="Arial" w:hint="eastAsia"/>
              </w:rPr>
              <w:t>權責主管</w:t>
            </w:r>
            <w:r>
              <w:rPr>
                <w:rFonts w:ascii="Arial" w:eastAsia="標楷體" w:hAnsi="標楷體" w:cs="Arial"/>
              </w:rPr>
              <w:t>核准之投資取得或處分額度者，需經由</w:t>
            </w:r>
            <w:r>
              <w:rPr>
                <w:rFonts w:ascii="Arial" w:eastAsia="標楷體" w:hAnsi="標楷體" w:cs="Arial" w:hint="eastAsia"/>
              </w:rPr>
              <w:t>權責主管另行核准。</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hint="eastAsia"/>
              </w:rPr>
              <w:t>從事投資買賣</w:t>
            </w:r>
            <w:r>
              <w:rPr>
                <w:rFonts w:ascii="Arial" w:eastAsia="標楷體" w:hAnsi="標楷體" w:cs="Arial"/>
              </w:rPr>
              <w:t>、</w:t>
            </w:r>
            <w:r>
              <w:rPr>
                <w:rFonts w:ascii="Arial" w:eastAsia="標楷體" w:hAnsi="標楷體" w:cs="Arial" w:hint="eastAsia"/>
              </w:rPr>
              <w:t>保管及紀錄應由不同之人員負責。</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Arial" w:cs="Arial" w:hint="eastAsia"/>
                <w:szCs w:val="24"/>
              </w:rPr>
              <w:t>僅有經過公司核准之財務承辦人員得以進行有價證券之買賣及交割行為</w:t>
            </w:r>
            <w:r>
              <w:rPr>
                <w:rFonts w:ascii="Arial" w:eastAsia="標楷體" w:hAnsi="標楷體" w:cs="Arial" w:hint="eastAsia"/>
              </w:rPr>
              <w:t>。</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hint="eastAsia"/>
              </w:rPr>
              <w:t>財務承辦人員應依照公司已核准之投資決策進行投資買賣</w:t>
            </w:r>
            <w:r>
              <w:rPr>
                <w:rFonts w:ascii="Arial" w:eastAsia="標楷體" w:hAnsi="標楷體" w:cs="Arial"/>
              </w:rPr>
              <w:t>，</w:t>
            </w:r>
            <w:r>
              <w:rPr>
                <w:rFonts w:ascii="Arial" w:eastAsia="標楷體" w:hAnsi="標楷體" w:cs="Arial" w:hint="eastAsia"/>
              </w:rPr>
              <w:t>並將其相關之交易憑證</w:t>
            </w:r>
            <w:r>
              <w:rPr>
                <w:rFonts w:ascii="Arial" w:eastAsia="標楷體" w:hAnsi="標楷體" w:cs="Arial"/>
              </w:rPr>
              <w:t>、</w:t>
            </w:r>
            <w:r>
              <w:rPr>
                <w:rFonts w:ascii="Arial" w:eastAsia="標楷體" w:hAnsi="標楷體" w:cs="Arial" w:hint="eastAsia"/>
              </w:rPr>
              <w:t>交割證明及合約等投資文件保存以供核對及入帳之用。</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rPr>
              <w:t>從事衍生性商品交易之交易人員及確認、交割等作業人員不得互相兼任</w:t>
            </w:r>
            <w:r>
              <w:rPr>
                <w:rFonts w:ascii="Arial" w:eastAsia="標楷體" w:hAnsi="標楷體" w:cs="Arial" w:hint="eastAsia"/>
              </w:rPr>
              <w:t>。</w:t>
            </w:r>
          </w:p>
          <w:p w:rsidR="00853C1E" w:rsidRDefault="00853C1E">
            <w:pPr>
              <w:numPr>
                <w:ilvl w:val="1"/>
                <w:numId w:val="1"/>
              </w:numPr>
              <w:spacing w:line="400" w:lineRule="exact"/>
              <w:jc w:val="both"/>
              <w:rPr>
                <w:rFonts w:ascii="Arial" w:eastAsia="標楷體" w:hAnsi="標楷體" w:cs="Arial" w:hint="eastAsia"/>
              </w:rPr>
            </w:pPr>
            <w:r>
              <w:rPr>
                <w:rFonts w:ascii="Arial" w:eastAsia="標楷體" w:hAnsi="標楷體" w:cs="Arial"/>
              </w:rPr>
              <w:t>財務單位至少每週應評估一次衍生性商品交易所持有之部位，惟若為業務需要，</w:t>
            </w:r>
          </w:p>
          <w:p w:rsidR="00853C1E" w:rsidRDefault="00853C1E">
            <w:pPr>
              <w:spacing w:line="400" w:lineRule="exact"/>
              <w:ind w:leftChars="376" w:left="1142" w:hangingChars="100" w:hanging="240"/>
              <w:jc w:val="both"/>
              <w:rPr>
                <w:rFonts w:ascii="Arial" w:eastAsia="標楷體" w:hAnsi="標楷體" w:cs="Arial" w:hint="eastAsia"/>
              </w:rPr>
            </w:pPr>
            <w:r>
              <w:rPr>
                <w:rFonts w:ascii="Arial" w:eastAsia="標楷體" w:hAnsi="標楷體" w:cs="Arial" w:hint="eastAsia"/>
              </w:rPr>
              <w:t xml:space="preserve">  </w:t>
            </w:r>
            <w:r>
              <w:rPr>
                <w:rFonts w:ascii="Arial" w:eastAsia="標楷體" w:hAnsi="標楷體" w:cs="Arial"/>
              </w:rPr>
              <w:t>負責交易確認人員</w:t>
            </w:r>
            <w:r>
              <w:rPr>
                <w:rFonts w:ascii="Arial" w:eastAsia="標楷體" w:hAnsi="標楷體" w:cs="Arial" w:hint="eastAsia"/>
              </w:rPr>
              <w:t>應</w:t>
            </w:r>
            <w:r>
              <w:rPr>
                <w:rFonts w:ascii="Arial" w:eastAsia="標楷體" w:hAnsi="標楷體" w:cs="Arial"/>
              </w:rPr>
              <w:t>定期與交易銀行核對交易明細與總額，並注意交易總額，是否超過契約總額</w:t>
            </w:r>
            <w:r>
              <w:rPr>
                <w:rFonts w:ascii="Arial" w:eastAsia="標楷體" w:hAnsi="標楷體" w:cs="Arial" w:hint="eastAsia"/>
              </w:rPr>
              <w:t>。</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rPr>
              <w:t>財務人員應建立備查簿，就從事衍生性商品交易之種類、金額、</w:t>
            </w:r>
            <w:r>
              <w:rPr>
                <w:rFonts w:ascii="Arial" w:eastAsia="標楷體" w:hAnsi="標楷體" w:cs="Arial" w:hint="eastAsia"/>
              </w:rPr>
              <w:t>權責主管核准</w:t>
            </w:r>
            <w:r>
              <w:rPr>
                <w:rFonts w:ascii="Arial" w:eastAsia="標楷體" w:hAnsi="標楷體" w:cs="Arial"/>
              </w:rPr>
              <w:t>通過日期及應審慎評估之事項，詳予登載於備查簿備查。</w:t>
            </w:r>
          </w:p>
          <w:p w:rsidR="00853C1E" w:rsidRDefault="00853C1E">
            <w:pPr>
              <w:numPr>
                <w:ilvl w:val="1"/>
                <w:numId w:val="1"/>
              </w:numPr>
              <w:spacing w:line="400" w:lineRule="exact"/>
              <w:jc w:val="both"/>
              <w:rPr>
                <w:rFonts w:ascii="Arial" w:eastAsia="標楷體" w:hAnsi="Arial" w:cs="Arial" w:hint="eastAsia"/>
                <w:szCs w:val="24"/>
              </w:rPr>
            </w:pPr>
            <w:r>
              <w:rPr>
                <w:rFonts w:ascii="Arial" w:eastAsia="標楷體" w:hAnsi="標楷體" w:cs="Arial" w:hint="eastAsia"/>
              </w:rPr>
              <w:t>權責主管</w:t>
            </w:r>
            <w:r>
              <w:rPr>
                <w:rFonts w:ascii="Arial" w:eastAsia="標楷體" w:hAnsi="標楷體" w:cs="Arial"/>
              </w:rPr>
              <w:t>應監督交易及損益情形，發現有異常情事時，應採取必要之因應措施</w:t>
            </w:r>
            <w:r>
              <w:rPr>
                <w:rFonts w:ascii="Arial" w:eastAsia="標楷體" w:hAnsi="標楷體" w:cs="Arial" w:hint="eastAsia"/>
              </w:rPr>
              <w:t>。</w:t>
            </w:r>
          </w:p>
          <w:p w:rsidR="00853C1E" w:rsidRDefault="00853C1E">
            <w:pPr>
              <w:numPr>
                <w:ilvl w:val="1"/>
                <w:numId w:val="1"/>
              </w:numPr>
              <w:spacing w:line="400" w:lineRule="exact"/>
              <w:jc w:val="both"/>
              <w:rPr>
                <w:rFonts w:ascii="Arial" w:eastAsia="標楷體" w:hAnsi="標楷體" w:cs="Arial" w:hint="eastAsia"/>
              </w:rPr>
            </w:pPr>
            <w:r>
              <w:rPr>
                <w:rFonts w:ascii="Arial" w:eastAsia="標楷體" w:hAnsi="標楷體" w:cs="Arial"/>
              </w:rPr>
              <w:t>財務人員須將</w:t>
            </w:r>
            <w:r>
              <w:rPr>
                <w:rFonts w:ascii="Arial" w:eastAsia="標楷體" w:hAnsi="標楷體" w:cs="Arial" w:hint="eastAsia"/>
              </w:rPr>
              <w:t>各項</w:t>
            </w:r>
            <w:r>
              <w:rPr>
                <w:rFonts w:ascii="Arial" w:eastAsia="標楷體" w:hAnsi="標楷體" w:cs="Arial"/>
              </w:rPr>
              <w:t>投資之明細列表管理</w:t>
            </w:r>
            <w:r>
              <w:rPr>
                <w:rFonts w:ascii="Arial" w:eastAsia="標楷體" w:hAnsi="標楷體" w:cs="Arial" w:hint="eastAsia"/>
              </w:rPr>
              <w:t>。</w:t>
            </w:r>
          </w:p>
          <w:p w:rsidR="00853C1E" w:rsidRDefault="00853C1E">
            <w:pPr>
              <w:spacing w:line="400" w:lineRule="exact"/>
              <w:jc w:val="both"/>
              <w:rPr>
                <w:rFonts w:ascii="Arial" w:eastAsia="標楷體" w:hAnsi="標楷體" w:cs="Arial" w:hint="eastAsia"/>
              </w:rPr>
            </w:pPr>
          </w:p>
          <w:p w:rsidR="00853C1E" w:rsidRDefault="00853C1E">
            <w:pPr>
              <w:spacing w:line="400" w:lineRule="exact"/>
              <w:jc w:val="both"/>
              <w:rPr>
                <w:rFonts w:ascii="Arial" w:eastAsia="標楷體" w:hAnsi="標楷體" w:cs="Arial" w:hint="eastAsia"/>
              </w:rPr>
            </w:pPr>
          </w:p>
          <w:p w:rsidR="00853C1E" w:rsidRDefault="00853C1E">
            <w:pPr>
              <w:spacing w:line="400" w:lineRule="exact"/>
              <w:jc w:val="both"/>
              <w:rPr>
                <w:rFonts w:ascii="Arial" w:eastAsia="標楷體" w:hAnsi="Arial" w:cs="Arial" w:hint="eastAsia"/>
                <w:szCs w:val="24"/>
              </w:rPr>
            </w:pPr>
          </w:p>
        </w:tc>
        <w:tc>
          <w:tcPr>
            <w:tcW w:w="2400" w:type="dxa"/>
            <w:tcMar>
              <w:left w:w="57" w:type="dxa"/>
              <w:right w:w="57" w:type="dxa"/>
            </w:tcMar>
          </w:tcPr>
          <w:p w:rsidR="00853C1E" w:rsidRDefault="00853C1E">
            <w:pPr>
              <w:spacing w:line="400" w:lineRule="exact"/>
              <w:ind w:left="28" w:right="28"/>
              <w:jc w:val="both"/>
              <w:rPr>
                <w:rFonts w:ascii="Arial" w:eastAsia="標楷體" w:hAnsi="Arial" w:cs="Arial"/>
                <w:szCs w:val="24"/>
              </w:rPr>
            </w:pPr>
            <w:r>
              <w:rPr>
                <w:rFonts w:ascii="Arial" w:eastAsia="標楷體" w:hAnsi="標楷體" w:cs="Arial"/>
                <w:szCs w:val="24"/>
              </w:rPr>
              <w:lastRenderedPageBreak/>
              <w:t>法令規章：</w:t>
            </w:r>
          </w:p>
          <w:p w:rsidR="00853C1E" w:rsidRDefault="00853C1E">
            <w:pPr>
              <w:numPr>
                <w:ilvl w:val="0"/>
                <w:numId w:val="16"/>
              </w:numPr>
              <w:spacing w:line="400" w:lineRule="exact"/>
              <w:ind w:right="28"/>
              <w:jc w:val="both"/>
              <w:rPr>
                <w:rFonts w:ascii="Arial" w:eastAsia="標楷體" w:hAnsi="Arial" w:cs="Arial" w:hint="eastAsia"/>
                <w:bCs/>
                <w:szCs w:val="24"/>
              </w:rPr>
            </w:pPr>
            <w:r>
              <w:rPr>
                <w:rFonts w:ascii="Arial" w:eastAsia="標楷體" w:hAnsi="標楷體" w:cs="Arial"/>
                <w:szCs w:val="24"/>
              </w:rPr>
              <w:t>期貨</w:t>
            </w:r>
            <w:r>
              <w:rPr>
                <w:rFonts w:ascii="Arial" w:eastAsia="標楷體" w:hAnsi="標楷體" w:cs="Arial" w:hint="eastAsia"/>
                <w:szCs w:val="24"/>
              </w:rPr>
              <w:t>信託事業</w:t>
            </w:r>
            <w:r>
              <w:rPr>
                <w:rFonts w:ascii="Arial" w:eastAsia="標楷體" w:hAnsi="標楷體" w:cs="Arial"/>
                <w:szCs w:val="24"/>
              </w:rPr>
              <w:t>管理規則第</w:t>
            </w:r>
            <w:r>
              <w:rPr>
                <w:rFonts w:ascii="Arial" w:eastAsia="標楷體" w:hAnsi="Arial" w:cs="Arial" w:hint="eastAsia"/>
                <w:szCs w:val="24"/>
              </w:rPr>
              <w:t>19</w:t>
            </w:r>
            <w:r>
              <w:rPr>
                <w:rFonts w:ascii="Arial" w:eastAsia="標楷體" w:hAnsi="標楷體" w:cs="Arial"/>
                <w:szCs w:val="24"/>
              </w:rPr>
              <w:t>條</w:t>
            </w:r>
          </w:p>
          <w:p w:rsidR="00853C1E" w:rsidRDefault="00853C1E">
            <w:pPr>
              <w:numPr>
                <w:ilvl w:val="0"/>
                <w:numId w:val="16"/>
              </w:numPr>
              <w:spacing w:line="400" w:lineRule="exact"/>
              <w:ind w:right="28"/>
              <w:jc w:val="both"/>
              <w:rPr>
                <w:rFonts w:ascii="Arial" w:eastAsia="標楷體" w:hAnsi="Arial" w:cs="Arial" w:hint="eastAsia"/>
                <w:bCs/>
                <w:szCs w:val="24"/>
              </w:rPr>
            </w:pPr>
            <w:r>
              <w:rPr>
                <w:rFonts w:ascii="Arial" w:eastAsia="標楷體" w:hAnsi="標楷體" w:cs="Arial" w:hint="eastAsia"/>
                <w:szCs w:val="24"/>
              </w:rPr>
              <w:t>一般公認會計原則</w:t>
            </w:r>
          </w:p>
          <w:p w:rsidR="00853C1E" w:rsidRDefault="00853C1E">
            <w:pPr>
              <w:spacing w:line="400" w:lineRule="exact"/>
              <w:ind w:right="28"/>
              <w:jc w:val="both"/>
              <w:rPr>
                <w:rFonts w:ascii="Arial" w:eastAsia="標楷體" w:hAnsi="Arial" w:cs="Arial" w:hint="eastAsia"/>
                <w:bCs/>
                <w:szCs w:val="24"/>
              </w:rPr>
            </w:pPr>
          </w:p>
          <w:p w:rsidR="00853C1E" w:rsidRDefault="00853C1E">
            <w:pPr>
              <w:spacing w:line="400" w:lineRule="exact"/>
              <w:ind w:right="28"/>
              <w:jc w:val="both"/>
              <w:rPr>
                <w:rFonts w:ascii="Arial" w:eastAsia="標楷體" w:hAnsi="Arial" w:cs="Arial"/>
                <w:bCs/>
                <w:szCs w:val="24"/>
              </w:rPr>
            </w:pPr>
          </w:p>
          <w:p w:rsidR="00853C1E" w:rsidRDefault="00853C1E">
            <w:pPr>
              <w:spacing w:line="400" w:lineRule="exact"/>
              <w:ind w:right="28"/>
              <w:jc w:val="both"/>
              <w:rPr>
                <w:rFonts w:ascii="Arial" w:eastAsia="標楷體" w:hAnsi="Arial" w:cs="Arial" w:hint="eastAsia"/>
                <w:bCs/>
                <w:szCs w:val="24"/>
              </w:rPr>
            </w:pPr>
          </w:p>
          <w:p w:rsidR="00853C1E" w:rsidRDefault="00853C1E">
            <w:pPr>
              <w:spacing w:line="400" w:lineRule="exact"/>
              <w:ind w:left="28" w:right="28"/>
              <w:jc w:val="both"/>
              <w:rPr>
                <w:rFonts w:ascii="Arial" w:eastAsia="標楷體" w:hAnsi="Arial" w:cs="Arial"/>
                <w:szCs w:val="24"/>
              </w:rPr>
            </w:pPr>
            <w:r>
              <w:rPr>
                <w:rFonts w:ascii="Arial" w:eastAsia="標楷體" w:hAnsi="標楷體" w:cs="Arial"/>
                <w:szCs w:val="24"/>
              </w:rPr>
              <w:t>使用表單：</w:t>
            </w:r>
          </w:p>
          <w:p w:rsidR="00853C1E" w:rsidRDefault="00853C1E">
            <w:pPr>
              <w:spacing w:line="400" w:lineRule="exact"/>
              <w:ind w:left="42" w:right="28"/>
              <w:jc w:val="both"/>
              <w:rPr>
                <w:rFonts w:ascii="Arial" w:eastAsia="標楷體" w:hAnsi="Arial" w:cs="Arial"/>
                <w:bCs/>
                <w:szCs w:val="24"/>
              </w:rPr>
            </w:pPr>
            <w:r>
              <w:rPr>
                <w:rFonts w:ascii="Arial" w:eastAsia="標楷體" w:hAnsi="Arial" w:cs="Arial" w:hint="eastAsia"/>
                <w:szCs w:val="24"/>
              </w:rPr>
              <w:t>無</w:t>
            </w:r>
          </w:p>
        </w:tc>
      </w:tr>
    </w:tbl>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b/>
        </w:rPr>
      </w:pPr>
    </w:p>
    <w:p w:rsidR="00853C1E" w:rsidRDefault="00853C1E">
      <w:pPr>
        <w:pStyle w:val="10"/>
        <w:numPr>
          <w:ilvl w:val="0"/>
          <w:numId w:val="1"/>
        </w:numPr>
        <w:tabs>
          <w:tab w:val="left" w:pos="1080"/>
        </w:tabs>
        <w:spacing w:before="0" w:after="0" w:line="400" w:lineRule="exact"/>
        <w:jc w:val="center"/>
        <w:rPr>
          <w:rFonts w:eastAsia="標楷體" w:cs="Arial"/>
          <w:b w:val="0"/>
          <w:sz w:val="40"/>
          <w:szCs w:val="40"/>
        </w:rPr>
      </w:pPr>
      <w:bookmarkStart w:id="4" w:name="_Toc196726901"/>
      <w:r>
        <w:rPr>
          <w:rFonts w:eastAsia="標楷體" w:cs="Arial"/>
          <w:b w:val="0"/>
          <w:sz w:val="40"/>
          <w:szCs w:val="40"/>
        </w:rPr>
        <w:t>投資保管</w:t>
      </w:r>
      <w:r>
        <w:rPr>
          <w:rFonts w:eastAsia="標楷體" w:cs="Arial" w:hint="eastAsia"/>
          <w:b w:val="0"/>
          <w:sz w:val="40"/>
          <w:szCs w:val="40"/>
        </w:rPr>
        <w:t>及盤點</w:t>
      </w:r>
      <w:r>
        <w:rPr>
          <w:rFonts w:eastAsia="標楷體" w:cs="Arial"/>
          <w:b w:val="0"/>
          <w:sz w:val="40"/>
          <w:szCs w:val="40"/>
        </w:rPr>
        <w:t>作業：</w:t>
      </w:r>
      <w:r>
        <w:rPr>
          <w:rFonts w:eastAsia="標楷體" w:cs="Arial"/>
          <w:b w:val="0"/>
          <w:sz w:val="40"/>
          <w:szCs w:val="40"/>
        </w:rPr>
        <w:t>CI-10300</w:t>
      </w:r>
      <w:bookmarkEnd w:id="4"/>
    </w:p>
    <w:p w:rsidR="00853C1E" w:rsidRDefault="00853C1E">
      <w:pPr>
        <w:spacing w:line="400" w:lineRule="exact"/>
        <w:rPr>
          <w:rFonts w:ascii="Arial" w:eastAsia="標楷體" w:hAnsi="Arial" w:cs="Arial"/>
          <w:sz w:val="40"/>
          <w:szCs w:val="40"/>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800"/>
        <w:gridCol w:w="9600"/>
        <w:gridCol w:w="2400"/>
      </w:tblGrid>
      <w:tr w:rsidR="00853C1E">
        <w:tblPrEx>
          <w:tblCellMar>
            <w:top w:w="0" w:type="dxa"/>
            <w:bottom w:w="0" w:type="dxa"/>
          </w:tblCellMar>
        </w:tblPrEx>
        <w:trPr>
          <w:trHeight w:val="152"/>
          <w:tblHeader/>
        </w:trPr>
        <w:tc>
          <w:tcPr>
            <w:tcW w:w="1348"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853C1E">
        <w:tblPrEx>
          <w:tblCellMar>
            <w:top w:w="0" w:type="dxa"/>
            <w:bottom w:w="0" w:type="dxa"/>
          </w:tblCellMar>
        </w:tblPrEx>
        <w:tc>
          <w:tcPr>
            <w:tcW w:w="1348" w:type="dxa"/>
            <w:tcMar>
              <w:left w:w="57" w:type="dxa"/>
              <w:right w:w="57" w:type="dxa"/>
            </w:tcMar>
          </w:tcPr>
          <w:p w:rsidR="00853C1E" w:rsidRDefault="00853C1E">
            <w:pPr>
              <w:spacing w:line="400" w:lineRule="exact"/>
              <w:jc w:val="center"/>
              <w:rPr>
                <w:rFonts w:ascii="Arial" w:eastAsia="標楷體" w:hAnsi="Arial" w:cs="Arial"/>
                <w:szCs w:val="24"/>
              </w:rPr>
            </w:pPr>
            <w:r>
              <w:rPr>
                <w:rFonts w:ascii="Arial" w:eastAsia="標楷體" w:hAnsi="Arial" w:cs="Arial"/>
                <w:szCs w:val="24"/>
              </w:rPr>
              <w:t>CI-10300</w:t>
            </w:r>
          </w:p>
        </w:tc>
        <w:tc>
          <w:tcPr>
            <w:tcW w:w="1800" w:type="dxa"/>
            <w:tcMar>
              <w:left w:w="57" w:type="dxa"/>
              <w:right w:w="57" w:type="dxa"/>
            </w:tcMar>
          </w:tcPr>
          <w:p w:rsidR="00853C1E" w:rsidRDefault="00853C1E">
            <w:pPr>
              <w:spacing w:line="400" w:lineRule="exact"/>
              <w:ind w:left="28" w:right="28"/>
              <w:rPr>
                <w:rFonts w:ascii="Arial" w:eastAsia="標楷體" w:hAnsi="Arial" w:cs="Arial"/>
                <w:szCs w:val="24"/>
              </w:rPr>
            </w:pPr>
            <w:r>
              <w:rPr>
                <w:rFonts w:ascii="Arial" w:eastAsia="標楷體" w:hAnsi="標楷體" w:cs="Arial"/>
                <w:szCs w:val="24"/>
              </w:rPr>
              <w:t>有價證券投資保管</w:t>
            </w:r>
            <w:r>
              <w:rPr>
                <w:rFonts w:ascii="Arial" w:eastAsia="標楷體" w:hAnsi="標楷體" w:cs="Arial" w:hint="eastAsia"/>
                <w:szCs w:val="24"/>
              </w:rPr>
              <w:t>及盤點</w:t>
            </w:r>
            <w:r>
              <w:rPr>
                <w:rFonts w:ascii="Arial" w:eastAsia="標楷體" w:hAnsi="標楷體" w:cs="Arial"/>
                <w:szCs w:val="24"/>
              </w:rPr>
              <w:t>作業</w:t>
            </w:r>
          </w:p>
        </w:tc>
        <w:tc>
          <w:tcPr>
            <w:tcW w:w="9600" w:type="dxa"/>
            <w:tcMar>
              <w:left w:w="57" w:type="dxa"/>
              <w:right w:w="57" w:type="dxa"/>
            </w:tcMar>
          </w:tcPr>
          <w:p w:rsidR="00853C1E" w:rsidRDefault="00853C1E">
            <w:pPr>
              <w:pStyle w:val="1"/>
              <w:numPr>
                <w:ilvl w:val="0"/>
                <w:numId w:val="12"/>
              </w:numPr>
              <w:spacing w:line="400" w:lineRule="exact"/>
              <w:jc w:val="both"/>
              <w:rPr>
                <w:rFonts w:ascii="Arial" w:hAnsi="Arial" w:cs="Arial"/>
                <w:szCs w:val="24"/>
              </w:rPr>
            </w:pPr>
            <w:r>
              <w:rPr>
                <w:rFonts w:ascii="Arial" w:cs="Arial"/>
                <w:szCs w:val="24"/>
              </w:rPr>
              <w:t>作業程序：</w:t>
            </w:r>
          </w:p>
          <w:p w:rsidR="00853C1E" w:rsidRDefault="00853C1E">
            <w:pPr>
              <w:numPr>
                <w:ilvl w:val="1"/>
                <w:numId w:val="12"/>
              </w:numPr>
              <w:spacing w:line="400" w:lineRule="exact"/>
              <w:jc w:val="both"/>
              <w:rPr>
                <w:rFonts w:ascii="Arial" w:eastAsia="標楷體" w:hAnsi="Arial" w:cs="Arial" w:hint="eastAsia"/>
                <w:szCs w:val="24"/>
              </w:rPr>
            </w:pPr>
            <w:r>
              <w:rPr>
                <w:rFonts w:ascii="Arial" w:eastAsia="標楷體" w:hAnsi="標楷體" w:cs="Arial"/>
                <w:szCs w:val="24"/>
              </w:rPr>
              <w:t>保管</w:t>
            </w:r>
            <w:r>
              <w:rPr>
                <w:rFonts w:ascii="Arial" w:eastAsia="標楷體" w:hAnsi="標楷體" w:cs="Arial" w:hint="eastAsia"/>
                <w:szCs w:val="24"/>
              </w:rPr>
              <w:t>作業：</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本公司之股票或債券如係原始發行取得者，應取得以本公司名義之記名股票或債券；如係由第三者購入，應即辦理過戶手續</w:t>
            </w:r>
            <w:r>
              <w:rPr>
                <w:rFonts w:ascii="Arial" w:eastAsia="標楷體" w:hAnsi="標楷體" w:cs="Arial" w:hint="eastAsia"/>
              </w:rPr>
              <w:t>。</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記名股票或債券原則上交予中央集保公司、票券保管銀行、信託公司等獨立保管機構集中保管，並由財務單位將保管憑證存放於公司或銀行保險箱</w:t>
            </w:r>
            <w:r>
              <w:rPr>
                <w:rFonts w:ascii="Arial" w:eastAsia="標楷體" w:hAnsi="標楷體" w:cs="Arial" w:hint="eastAsia"/>
              </w:rPr>
              <w:t>。</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若是由獨立保管機構集中保管者</w:t>
            </w:r>
            <w:r>
              <w:rPr>
                <w:rFonts w:ascii="Arial" w:eastAsia="標楷體" w:hAnsi="標楷體" w:cs="Arial"/>
              </w:rPr>
              <w:t>，</w:t>
            </w:r>
            <w:r>
              <w:rPr>
                <w:rFonts w:ascii="Arial" w:eastAsia="標楷體" w:hAnsi="標楷體" w:cs="Arial" w:hint="eastAsia"/>
              </w:rPr>
              <w:t>應不定期函證</w:t>
            </w:r>
            <w:r>
              <w:rPr>
                <w:rFonts w:ascii="Arial" w:eastAsia="標楷體" w:hAnsi="標楷體" w:cs="Arial" w:hint="eastAsia"/>
              </w:rPr>
              <w:t>(</w:t>
            </w:r>
            <w:r>
              <w:rPr>
                <w:rFonts w:ascii="Arial" w:eastAsia="標楷體" w:hAnsi="標楷體" w:cs="Arial" w:hint="eastAsia"/>
              </w:rPr>
              <w:t>每半年至少辦理一次</w:t>
            </w:r>
            <w:r>
              <w:rPr>
                <w:rFonts w:ascii="Arial" w:eastAsia="標楷體" w:hAnsi="標楷體" w:cs="Arial" w:hint="eastAsia"/>
              </w:rPr>
              <w:t>)</w:t>
            </w:r>
            <w:r>
              <w:rPr>
                <w:rFonts w:ascii="Arial" w:eastAsia="標楷體" w:hAnsi="標楷體" w:cs="Arial"/>
              </w:rPr>
              <w:t>，</w:t>
            </w:r>
            <w:r>
              <w:rPr>
                <w:rFonts w:ascii="Arial" w:eastAsia="標楷體" w:hAnsi="標楷體" w:cs="Arial" w:hint="eastAsia"/>
              </w:rPr>
              <w:t>並對於保管機構未回函或數量不正確者應前往實地盤點。</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對於無法交保管機構之有價證券或不動產權狀，應於取得時立即存入公司或銀行保險箱，交由不同人員保管鑰匙或密碼並列表管制保險箱中之資產</w:t>
            </w:r>
            <w:r>
              <w:rPr>
                <w:rFonts w:ascii="Arial" w:eastAsia="標楷體" w:hAnsi="標楷體" w:cs="Arial" w:hint="eastAsia"/>
              </w:rPr>
              <w:t>。</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有價證券欲借出或領出，均須取得權責主管之書面核准文件後，</w:t>
            </w:r>
            <w:r>
              <w:rPr>
                <w:rFonts w:ascii="Arial" w:eastAsia="標楷體" w:hAnsi="標楷體" w:cs="Arial" w:hint="eastAsia"/>
              </w:rPr>
              <w:t>並至少兩人以上開啟保管箱後</w:t>
            </w:r>
            <w:r>
              <w:rPr>
                <w:rFonts w:ascii="Arial" w:eastAsia="標楷體" w:hAnsi="標楷體" w:cs="Arial"/>
              </w:rPr>
              <w:t>始得從保管場所取出，並於管制表上詳細記載借出、領出資料。借出期限屆滿時，若未主動將有價證券交還保管人員，保管人員應負責追回，並將此情形呈權責主管處理</w:t>
            </w:r>
            <w:r>
              <w:rPr>
                <w:rFonts w:ascii="Arial" w:eastAsia="標楷體" w:hAnsi="標楷體" w:cs="Arial" w:hint="eastAsia"/>
              </w:rPr>
              <w:t>。</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szCs w:val="24"/>
              </w:rPr>
              <w:t>保管人員應注意事項</w:t>
            </w:r>
            <w:r>
              <w:rPr>
                <w:rFonts w:ascii="Arial" w:eastAsia="標楷體" w:hAnsi="Arial" w:cs="Arial" w:hint="eastAsia"/>
                <w:szCs w:val="24"/>
              </w:rPr>
              <w:t xml:space="preserve"> :</w:t>
            </w:r>
          </w:p>
          <w:p w:rsidR="00853C1E" w:rsidRDefault="00853C1E">
            <w:pPr>
              <w:spacing w:line="400" w:lineRule="exact"/>
              <w:ind w:leftChars="460" w:left="1104" w:firstLineChars="100" w:firstLine="240"/>
              <w:jc w:val="both"/>
              <w:rPr>
                <w:rFonts w:ascii="Arial" w:eastAsia="標楷體" w:hAnsi="標楷體" w:cs="Arial" w:hint="eastAsia"/>
              </w:rPr>
            </w:pPr>
            <w:r>
              <w:rPr>
                <w:rFonts w:ascii="Arial" w:eastAsia="標楷體" w:hAnsi="Arial" w:cs="Arial" w:hint="eastAsia"/>
                <w:szCs w:val="24"/>
              </w:rPr>
              <w:t>(1)</w:t>
            </w:r>
            <w:r>
              <w:rPr>
                <w:rFonts w:ascii="Arial" w:eastAsia="標楷體" w:hAnsi="Arial" w:cs="Arial" w:hint="eastAsia"/>
                <w:szCs w:val="24"/>
              </w:rPr>
              <w:t>對保管之有價證券必須設立存取紀錄</w:t>
            </w:r>
            <w:r>
              <w:rPr>
                <w:rFonts w:ascii="Arial" w:eastAsia="標楷體" w:hAnsi="標楷體" w:cs="Arial" w:hint="eastAsia"/>
              </w:rPr>
              <w:t>。</w:t>
            </w:r>
          </w:p>
          <w:p w:rsidR="00853C1E" w:rsidRDefault="00853C1E">
            <w:pPr>
              <w:spacing w:line="400" w:lineRule="exact"/>
              <w:ind w:leftChars="460" w:left="1104" w:firstLineChars="100" w:firstLine="240"/>
              <w:jc w:val="both"/>
              <w:rPr>
                <w:rFonts w:ascii="Arial" w:eastAsia="標楷體" w:hAnsi="Arial" w:cs="Arial" w:hint="eastAsia"/>
                <w:szCs w:val="24"/>
              </w:rPr>
            </w:pPr>
            <w:r>
              <w:rPr>
                <w:rFonts w:ascii="Arial" w:eastAsia="標楷體" w:hAnsi="標楷體" w:cs="Arial" w:hint="eastAsia"/>
              </w:rPr>
              <w:t>(2)</w:t>
            </w:r>
            <w:r>
              <w:rPr>
                <w:rFonts w:ascii="Arial" w:eastAsia="標楷體" w:hAnsi="標楷體" w:cs="Arial" w:hint="eastAsia"/>
              </w:rPr>
              <w:t>須隨時維持詳細與完整之存取紀錄</w:t>
            </w:r>
            <w:r>
              <w:rPr>
                <w:rFonts w:ascii="Arial" w:eastAsia="標楷體" w:hAnsi="標楷體" w:cs="Arial"/>
              </w:rPr>
              <w:t>，</w:t>
            </w:r>
            <w:r>
              <w:rPr>
                <w:rFonts w:ascii="Arial" w:eastAsia="標楷體" w:hAnsi="標楷體" w:cs="Arial" w:hint="eastAsia"/>
              </w:rPr>
              <w:t>以供查詢。</w:t>
            </w:r>
          </w:p>
          <w:p w:rsidR="00853C1E" w:rsidRDefault="00853C1E">
            <w:pPr>
              <w:spacing w:line="400" w:lineRule="exact"/>
              <w:ind w:leftChars="560" w:left="1584" w:hangingChars="100" w:hanging="240"/>
              <w:jc w:val="both"/>
              <w:rPr>
                <w:rFonts w:ascii="Arial" w:eastAsia="標楷體" w:hAnsi="Arial" w:cs="Arial" w:hint="eastAsia"/>
                <w:szCs w:val="24"/>
              </w:rPr>
            </w:pPr>
            <w:r>
              <w:rPr>
                <w:rFonts w:ascii="Arial" w:eastAsia="標楷體" w:hAnsi="標楷體" w:cs="Arial" w:hint="eastAsia"/>
              </w:rPr>
              <w:t>(3)</w:t>
            </w:r>
            <w:r>
              <w:rPr>
                <w:rFonts w:ascii="Arial" w:eastAsia="標楷體" w:hAnsi="標楷體" w:cs="Arial" w:hint="eastAsia"/>
              </w:rPr>
              <w:t>對於有價證券</w:t>
            </w:r>
            <w:r>
              <w:rPr>
                <w:rFonts w:ascii="Arial" w:eastAsia="標楷體" w:hAnsi="標楷體" w:cs="Arial"/>
              </w:rPr>
              <w:t>，</w:t>
            </w:r>
            <w:r>
              <w:rPr>
                <w:rFonts w:ascii="Arial" w:eastAsia="標楷體" w:hAnsi="標楷體" w:cs="Arial" w:hint="eastAsia"/>
              </w:rPr>
              <w:t>應隨時注意</w:t>
            </w:r>
            <w:r>
              <w:rPr>
                <w:rFonts w:ascii="Arial" w:eastAsia="標楷體" w:hAnsi="標楷體" w:cs="Arial"/>
              </w:rPr>
              <w:t>，</w:t>
            </w:r>
            <w:r>
              <w:rPr>
                <w:rFonts w:ascii="Arial" w:eastAsia="標楷體" w:hAnsi="標楷體" w:cs="Arial" w:hint="eastAsia"/>
              </w:rPr>
              <w:t>檢查還本付息日期</w:t>
            </w:r>
            <w:r>
              <w:rPr>
                <w:rFonts w:ascii="Arial" w:eastAsia="標楷體" w:hAnsi="標楷體" w:cs="Arial"/>
              </w:rPr>
              <w:t>，</w:t>
            </w:r>
            <w:r>
              <w:rPr>
                <w:rFonts w:ascii="Arial" w:eastAsia="標楷體" w:hAnsi="標楷體" w:cs="Arial" w:hint="eastAsia"/>
              </w:rPr>
              <w:t>按其收回本金</w:t>
            </w:r>
            <w:r>
              <w:rPr>
                <w:rFonts w:ascii="Arial" w:eastAsia="標楷體" w:hAnsi="標楷體" w:cs="Arial"/>
              </w:rPr>
              <w:t>，</w:t>
            </w:r>
            <w:r>
              <w:rPr>
                <w:rFonts w:ascii="Arial" w:eastAsia="標楷體" w:hAnsi="標楷體" w:cs="Arial" w:hint="eastAsia"/>
              </w:rPr>
              <w:t>領取利息或股息。</w:t>
            </w:r>
          </w:p>
          <w:p w:rsidR="00853C1E" w:rsidRDefault="00853C1E">
            <w:pPr>
              <w:spacing w:line="400" w:lineRule="exact"/>
              <w:ind w:leftChars="560" w:left="1584" w:hangingChars="100" w:hanging="240"/>
              <w:jc w:val="both"/>
              <w:rPr>
                <w:rFonts w:ascii="Arial" w:eastAsia="標楷體" w:hAnsi="Arial" w:cs="Arial" w:hint="eastAsia"/>
                <w:szCs w:val="24"/>
              </w:rPr>
            </w:pPr>
            <w:r>
              <w:rPr>
                <w:rFonts w:ascii="Arial" w:eastAsia="標楷體" w:hAnsi="標楷體" w:cs="Arial" w:hint="eastAsia"/>
              </w:rPr>
              <w:t>(4)</w:t>
            </w:r>
            <w:r>
              <w:rPr>
                <w:rFonts w:ascii="Arial" w:eastAsia="標楷體" w:hAnsi="標楷體" w:cs="Arial" w:hint="eastAsia"/>
              </w:rPr>
              <w:t>應定期編製有關有價證券異動之明細紀錄呈報權責主管</w:t>
            </w:r>
            <w:r>
              <w:rPr>
                <w:rFonts w:ascii="Arial" w:eastAsia="標楷體" w:hAnsi="標楷體" w:cs="Arial"/>
              </w:rPr>
              <w:t>，</w:t>
            </w:r>
            <w:r>
              <w:rPr>
                <w:rFonts w:ascii="Arial" w:eastAsia="標楷體" w:hAnsi="標楷體" w:cs="Arial" w:hint="eastAsia"/>
              </w:rPr>
              <w:t>主管人員並應定期與會計帳冊核對。</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lastRenderedPageBreak/>
              <w:t>公司從事有價證券投資需取得投資相關之股權證明或交易買賣憑證，且股權證明或交易憑證應由帳務處理</w:t>
            </w:r>
            <w:r>
              <w:rPr>
                <w:rFonts w:ascii="Arial" w:eastAsia="標楷體" w:hAnsi="標楷體" w:cs="Arial" w:hint="eastAsia"/>
              </w:rPr>
              <w:t>及負責投資買賣</w:t>
            </w:r>
            <w:r>
              <w:rPr>
                <w:rFonts w:ascii="Arial" w:eastAsia="標楷體" w:hAnsi="標楷體" w:cs="Arial"/>
              </w:rPr>
              <w:t>以外之人員負保管之責</w:t>
            </w:r>
            <w:r>
              <w:rPr>
                <w:rFonts w:ascii="Arial" w:eastAsia="標楷體" w:hAnsi="標楷體" w:cs="Arial" w:hint="eastAsia"/>
              </w:rPr>
              <w:t>。</w:t>
            </w:r>
          </w:p>
          <w:p w:rsidR="00853C1E" w:rsidRDefault="00853C1E">
            <w:pPr>
              <w:numPr>
                <w:ilvl w:val="0"/>
                <w:numId w:val="20"/>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szCs w:val="24"/>
              </w:rPr>
              <w:t>若公司有因資金需要而舉債借款或因公司訴訟之需求以有價證券作為擔保時</w:t>
            </w:r>
            <w:r>
              <w:rPr>
                <w:rFonts w:ascii="Arial" w:eastAsia="標楷體" w:hAnsi="Arial" w:cs="Arial"/>
                <w:szCs w:val="24"/>
              </w:rPr>
              <w:t>，</w:t>
            </w:r>
            <w:r>
              <w:rPr>
                <w:rFonts w:ascii="Arial" w:eastAsia="標楷體" w:hAnsi="Arial" w:cs="Arial" w:hint="eastAsia"/>
                <w:szCs w:val="24"/>
              </w:rPr>
              <w:t>應呈請權責主管核准</w:t>
            </w:r>
            <w:r>
              <w:rPr>
                <w:rFonts w:ascii="Arial" w:eastAsia="標楷體" w:hAnsi="Arial" w:cs="Arial"/>
                <w:szCs w:val="24"/>
              </w:rPr>
              <w:t>，</w:t>
            </w:r>
            <w:r>
              <w:rPr>
                <w:rFonts w:ascii="Arial" w:eastAsia="標楷體" w:hAnsi="Arial" w:cs="Arial" w:hint="eastAsia"/>
                <w:szCs w:val="24"/>
              </w:rPr>
              <w:t>並依公司財產管理辦法之規定辦理。</w:t>
            </w:r>
          </w:p>
          <w:p w:rsidR="00853C1E" w:rsidRDefault="00853C1E">
            <w:pPr>
              <w:numPr>
                <w:ilvl w:val="0"/>
                <w:numId w:val="20"/>
              </w:numPr>
              <w:tabs>
                <w:tab w:val="clear" w:pos="908"/>
                <w:tab w:val="num" w:pos="1392"/>
              </w:tabs>
              <w:spacing w:line="400" w:lineRule="exact"/>
              <w:ind w:left="1392" w:hanging="240"/>
              <w:jc w:val="both"/>
              <w:rPr>
                <w:rFonts w:ascii="Arial" w:eastAsia="標楷體" w:hAnsi="標楷體" w:cs="Arial" w:hint="eastAsia"/>
              </w:rPr>
            </w:pPr>
            <w:r>
              <w:rPr>
                <w:rFonts w:ascii="Arial" w:eastAsia="標楷體" w:hAnsi="標楷體" w:cs="Arial" w:hint="eastAsia"/>
              </w:rPr>
              <w:t>公司應針對已被提供作擔保之有價證券取得相關之保管收據或保管憑證並記錄相關之提供數目及債務項目等。</w:t>
            </w:r>
          </w:p>
          <w:p w:rsidR="00853C1E" w:rsidRDefault="00853C1E">
            <w:pPr>
              <w:numPr>
                <w:ilvl w:val="1"/>
                <w:numId w:val="12"/>
              </w:numPr>
              <w:spacing w:line="400" w:lineRule="exact"/>
              <w:jc w:val="both"/>
              <w:rPr>
                <w:rFonts w:ascii="Arial" w:eastAsia="標楷體" w:hAnsi="Arial" w:cs="Arial" w:hint="eastAsia"/>
                <w:szCs w:val="24"/>
              </w:rPr>
            </w:pPr>
            <w:r>
              <w:rPr>
                <w:rFonts w:ascii="Arial" w:eastAsia="標楷體" w:hAnsi="標楷體" w:cs="Arial" w:hint="eastAsia"/>
                <w:szCs w:val="24"/>
              </w:rPr>
              <w:t>盤點作業：</w:t>
            </w:r>
          </w:p>
          <w:p w:rsidR="00853C1E" w:rsidRDefault="00853C1E">
            <w:pPr>
              <w:numPr>
                <w:ilvl w:val="0"/>
                <w:numId w:val="21"/>
              </w:numPr>
              <w:tabs>
                <w:tab w:val="clear" w:pos="908"/>
                <w:tab w:val="num" w:pos="1383"/>
              </w:tabs>
              <w:spacing w:line="400" w:lineRule="exact"/>
              <w:ind w:left="1383" w:hanging="231"/>
              <w:jc w:val="both"/>
              <w:rPr>
                <w:rFonts w:ascii="Arial" w:eastAsia="標楷體" w:hAnsi="標楷體" w:cs="Arial" w:hint="eastAsia"/>
              </w:rPr>
            </w:pPr>
            <w:r>
              <w:rPr>
                <w:rFonts w:ascii="Arial" w:eastAsia="標楷體" w:hAnsi="標楷體" w:cs="Arial"/>
              </w:rPr>
              <w:t>有價證券應由財產保管人員作定期及不定期之盤點，並核對帳列記錄</w:t>
            </w:r>
            <w:r>
              <w:rPr>
                <w:rFonts w:ascii="Arial" w:eastAsia="標楷體" w:hAnsi="標楷體" w:cs="Arial" w:hint="eastAsia"/>
              </w:rPr>
              <w:t>。</w:t>
            </w:r>
          </w:p>
          <w:p w:rsidR="00853C1E" w:rsidRDefault="00853C1E">
            <w:pPr>
              <w:numPr>
                <w:ilvl w:val="0"/>
                <w:numId w:val="21"/>
              </w:numPr>
              <w:tabs>
                <w:tab w:val="clear" w:pos="908"/>
                <w:tab w:val="num" w:pos="1383"/>
              </w:tabs>
              <w:spacing w:line="400" w:lineRule="exact"/>
              <w:ind w:left="1383" w:hanging="231"/>
              <w:jc w:val="both"/>
              <w:rPr>
                <w:rFonts w:ascii="Arial" w:eastAsia="標楷體" w:hAnsi="標楷體" w:cs="Arial" w:hint="eastAsia"/>
              </w:rPr>
            </w:pPr>
            <w:r>
              <w:rPr>
                <w:rFonts w:ascii="Arial" w:eastAsia="標楷體" w:hAnsi="標楷體" w:cs="Arial"/>
              </w:rPr>
              <w:t>有價證券盤點結果及記錄，應呈權責主管覆核。</w:t>
            </w:r>
          </w:p>
          <w:p w:rsidR="00853C1E" w:rsidRDefault="00853C1E">
            <w:pPr>
              <w:numPr>
                <w:ilvl w:val="0"/>
                <w:numId w:val="21"/>
              </w:numPr>
              <w:tabs>
                <w:tab w:val="clear" w:pos="908"/>
                <w:tab w:val="num" w:pos="1383"/>
              </w:tabs>
              <w:spacing w:line="400" w:lineRule="exact"/>
              <w:ind w:left="1383" w:hanging="231"/>
              <w:jc w:val="both"/>
              <w:rPr>
                <w:rFonts w:ascii="Arial" w:eastAsia="標楷體" w:hAnsi="Arial" w:cs="Arial" w:hint="eastAsia"/>
                <w:szCs w:val="24"/>
              </w:rPr>
            </w:pPr>
            <w:r>
              <w:rPr>
                <w:rFonts w:ascii="Arial" w:eastAsia="標楷體" w:hAnsi="標楷體" w:cs="Arial"/>
              </w:rPr>
              <w:t>盤點若有差</w:t>
            </w:r>
            <w:r>
              <w:rPr>
                <w:rFonts w:ascii="Arial" w:eastAsia="標楷體" w:hAnsi="標楷體" w:cs="Arial"/>
                <w:spacing w:val="14"/>
              </w:rPr>
              <w:t>異，應確認實際數量，追查不符原因，並</w:t>
            </w:r>
            <w:r>
              <w:rPr>
                <w:rFonts w:ascii="Arial" w:eastAsia="標楷體" w:hAnsi="標楷體" w:cs="Arial"/>
              </w:rPr>
              <w:t>呈權責主管</w:t>
            </w:r>
            <w:r>
              <w:rPr>
                <w:rFonts w:ascii="Arial" w:eastAsia="標楷體" w:hAnsi="標楷體" w:cs="Arial"/>
                <w:spacing w:val="14"/>
              </w:rPr>
              <w:t>依其性質擬訂對策追究責任</w:t>
            </w:r>
            <w:r>
              <w:rPr>
                <w:rFonts w:ascii="Arial" w:eastAsia="標楷體" w:hAnsi="標楷體" w:cs="Arial" w:hint="eastAsia"/>
                <w:spacing w:val="14"/>
              </w:rPr>
              <w:t>。</w:t>
            </w:r>
          </w:p>
          <w:p w:rsidR="00853C1E" w:rsidRDefault="00853C1E">
            <w:pPr>
              <w:numPr>
                <w:ilvl w:val="0"/>
                <w:numId w:val="21"/>
              </w:numPr>
              <w:tabs>
                <w:tab w:val="clear" w:pos="908"/>
                <w:tab w:val="num" w:pos="1383"/>
              </w:tabs>
              <w:spacing w:line="400" w:lineRule="exact"/>
              <w:ind w:left="1383" w:hanging="231"/>
              <w:jc w:val="both"/>
              <w:rPr>
                <w:rFonts w:ascii="Arial" w:eastAsia="標楷體" w:hAnsi="Arial" w:cs="Arial" w:hint="eastAsia"/>
                <w:szCs w:val="24"/>
              </w:rPr>
            </w:pPr>
            <w:r>
              <w:rPr>
                <w:rFonts w:ascii="Arial" w:eastAsia="標楷體" w:hAnsi="標楷體" w:cs="Arial"/>
                <w:spacing w:val="14"/>
              </w:rPr>
              <w:t>出入銀行開啟保險箱時，應有兩名人員到場，並於本公司之開啟保險箱之名冊上簽名</w:t>
            </w:r>
            <w:r>
              <w:rPr>
                <w:rFonts w:ascii="Arial" w:eastAsia="標楷體" w:hAnsi="標楷體" w:cs="Arial" w:hint="eastAsia"/>
                <w:spacing w:val="14"/>
              </w:rPr>
              <w:t>。</w:t>
            </w:r>
          </w:p>
          <w:p w:rsidR="00853C1E" w:rsidRDefault="00853C1E">
            <w:pPr>
              <w:tabs>
                <w:tab w:val="num" w:pos="1512"/>
              </w:tabs>
              <w:spacing w:line="400" w:lineRule="exact"/>
              <w:ind w:left="1152"/>
              <w:jc w:val="both"/>
              <w:rPr>
                <w:rFonts w:ascii="Arial" w:eastAsia="標楷體" w:hAnsi="Arial" w:cs="Arial"/>
                <w:szCs w:val="24"/>
              </w:rPr>
            </w:pPr>
          </w:p>
          <w:p w:rsidR="00853C1E" w:rsidRDefault="00853C1E">
            <w:pPr>
              <w:pStyle w:val="1"/>
              <w:numPr>
                <w:ilvl w:val="0"/>
                <w:numId w:val="12"/>
              </w:numPr>
              <w:spacing w:line="400" w:lineRule="exact"/>
              <w:jc w:val="both"/>
              <w:rPr>
                <w:rFonts w:ascii="Arial" w:hAnsi="Arial" w:cs="Arial"/>
                <w:szCs w:val="24"/>
              </w:rPr>
            </w:pPr>
            <w:r>
              <w:rPr>
                <w:rFonts w:ascii="Arial" w:cs="Arial"/>
                <w:szCs w:val="24"/>
              </w:rPr>
              <w:t>控制重點：</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spacing w:val="14"/>
              </w:rPr>
              <w:t>出入銀行開啟保險箱時，應有兩名人員到場，並於本公司之開啟保險箱之名冊上簽名</w:t>
            </w:r>
            <w:r>
              <w:rPr>
                <w:rFonts w:ascii="Arial" w:eastAsia="標楷體" w:hAnsi="標楷體" w:cs="Arial"/>
                <w:szCs w:val="24"/>
              </w:rPr>
              <w:t>。</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rPr>
              <w:t>記名股票或債券原則上交予中央集保公司、票券保管銀行、信託公司等獨立保管機構集中保管，並由財務單位將保管憑證存放於公司或銀行保險箱</w:t>
            </w:r>
            <w:r>
              <w:rPr>
                <w:rFonts w:ascii="Arial" w:eastAsia="標楷體" w:hAnsi="標楷體" w:cs="Arial" w:hint="eastAsia"/>
              </w:rPr>
              <w:t>。</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hint="eastAsia"/>
              </w:rPr>
              <w:t>若是由獨立保管機構集中保管者</w:t>
            </w:r>
            <w:r>
              <w:rPr>
                <w:rFonts w:ascii="Arial" w:eastAsia="標楷體" w:hAnsi="標楷體" w:cs="Arial"/>
              </w:rPr>
              <w:t>，</w:t>
            </w:r>
            <w:r>
              <w:rPr>
                <w:rFonts w:ascii="Arial" w:eastAsia="標楷體" w:hAnsi="標楷體" w:cs="Arial" w:hint="eastAsia"/>
              </w:rPr>
              <w:t>應不定期函證</w:t>
            </w:r>
            <w:r>
              <w:rPr>
                <w:rFonts w:ascii="Arial" w:eastAsia="標楷體" w:hAnsi="標楷體" w:cs="Arial"/>
              </w:rPr>
              <w:t>，</w:t>
            </w:r>
            <w:r>
              <w:rPr>
                <w:rFonts w:ascii="Arial" w:eastAsia="標楷體" w:hAnsi="標楷體" w:cs="Arial" w:hint="eastAsia"/>
              </w:rPr>
              <w:t>並對於保管機構未回函或數量不正確者應前往實地盤點。</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rPr>
              <w:lastRenderedPageBreak/>
              <w:t>對於無法交保管機構之有價證券，應於取得時立即存入公司或銀行保險箱，交由不同人員保管鑰匙或密碼並列表管制保險箱中之資產</w:t>
            </w:r>
            <w:r>
              <w:rPr>
                <w:rFonts w:ascii="Arial" w:eastAsia="標楷體" w:hAnsi="標楷體" w:cs="Arial" w:hint="eastAsia"/>
              </w:rPr>
              <w:t>。</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rPr>
              <w:t>有價證券應由</w:t>
            </w:r>
            <w:r>
              <w:rPr>
                <w:rFonts w:ascii="Arial" w:eastAsia="標楷體" w:hAnsi="標楷體" w:cs="Arial" w:hint="eastAsia"/>
              </w:rPr>
              <w:t>內部稽核人員</w:t>
            </w:r>
            <w:r>
              <w:rPr>
                <w:rFonts w:ascii="Arial" w:eastAsia="標楷體" w:hAnsi="標楷體" w:cs="Arial"/>
              </w:rPr>
              <w:t>作定期及不定期之盤點，並核對帳列記錄</w:t>
            </w:r>
            <w:r>
              <w:rPr>
                <w:rFonts w:ascii="Arial" w:eastAsia="標楷體" w:hAnsi="標楷體" w:cs="Arial" w:hint="eastAsia"/>
              </w:rPr>
              <w:t>。</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hint="eastAsia"/>
              </w:rPr>
              <w:t>有價證券之買賣</w:t>
            </w:r>
            <w:r>
              <w:rPr>
                <w:rFonts w:ascii="Arial" w:eastAsia="標楷體" w:hAnsi="標楷體" w:cs="Arial"/>
              </w:rPr>
              <w:t>、</w:t>
            </w:r>
            <w:r>
              <w:rPr>
                <w:rFonts w:ascii="Arial" w:eastAsia="標楷體" w:hAnsi="標楷體" w:cs="Arial" w:hint="eastAsia"/>
              </w:rPr>
              <w:t>保管及帳務處理應分別由不同人員擔任。</w:t>
            </w:r>
          </w:p>
          <w:p w:rsidR="00853C1E" w:rsidRDefault="00853C1E">
            <w:pPr>
              <w:numPr>
                <w:ilvl w:val="1"/>
                <w:numId w:val="13"/>
              </w:numPr>
              <w:spacing w:line="400" w:lineRule="exact"/>
              <w:jc w:val="both"/>
              <w:rPr>
                <w:rFonts w:ascii="Arial" w:eastAsia="標楷體" w:hAnsi="Arial" w:cs="Arial" w:hint="eastAsia"/>
                <w:szCs w:val="24"/>
              </w:rPr>
            </w:pPr>
            <w:r>
              <w:rPr>
                <w:rFonts w:ascii="Arial" w:eastAsia="標楷體" w:hAnsi="標楷體" w:cs="Arial"/>
              </w:rPr>
              <w:t>盤點結果及記錄，應呈權責主管覆核</w:t>
            </w:r>
            <w:r>
              <w:rPr>
                <w:rFonts w:ascii="Arial" w:eastAsia="標楷體" w:hAnsi="標楷體" w:cs="Arial" w:hint="eastAsia"/>
              </w:rPr>
              <w:t>。且若</w:t>
            </w:r>
            <w:r>
              <w:rPr>
                <w:rFonts w:ascii="Arial" w:eastAsia="標楷體" w:hAnsi="標楷體" w:cs="Arial"/>
              </w:rPr>
              <w:t>盤點有差異，應確認實際數量，追查不符原因</w:t>
            </w:r>
            <w:r>
              <w:rPr>
                <w:rFonts w:ascii="Arial" w:eastAsia="標楷體" w:hAnsi="標楷體" w:cs="Arial" w:hint="eastAsia"/>
              </w:rPr>
              <w:t>。</w:t>
            </w:r>
          </w:p>
          <w:p w:rsidR="00853C1E" w:rsidRDefault="00853C1E">
            <w:pPr>
              <w:spacing w:line="400" w:lineRule="exact"/>
              <w:jc w:val="both"/>
              <w:rPr>
                <w:rFonts w:ascii="Arial" w:eastAsia="標楷體" w:hAnsi="標楷體" w:cs="Arial" w:hint="eastAsia"/>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tc>
        <w:tc>
          <w:tcPr>
            <w:tcW w:w="2400" w:type="dxa"/>
            <w:tcMar>
              <w:left w:w="57" w:type="dxa"/>
              <w:right w:w="57" w:type="dxa"/>
            </w:tcMar>
          </w:tcPr>
          <w:p w:rsidR="00853C1E" w:rsidRDefault="00853C1E">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853C1E" w:rsidRDefault="00853C1E">
            <w:pPr>
              <w:numPr>
                <w:ilvl w:val="0"/>
                <w:numId w:val="6"/>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財產管理辦法</w:t>
            </w:r>
          </w:p>
          <w:p w:rsidR="00853C1E" w:rsidRDefault="00853C1E">
            <w:pPr>
              <w:spacing w:line="400" w:lineRule="exact"/>
              <w:ind w:right="28"/>
              <w:rPr>
                <w:rFonts w:ascii="Arial" w:eastAsia="標楷體" w:hAnsi="Arial" w:cs="Arial"/>
                <w:bCs/>
                <w:szCs w:val="24"/>
              </w:rPr>
            </w:pPr>
          </w:p>
          <w:p w:rsidR="00853C1E" w:rsidRDefault="00853C1E">
            <w:pPr>
              <w:spacing w:line="400" w:lineRule="exact"/>
              <w:ind w:right="28"/>
              <w:rPr>
                <w:rFonts w:ascii="Arial" w:eastAsia="標楷體" w:hAnsi="Arial" w:cs="Arial"/>
                <w:bCs/>
                <w:szCs w:val="24"/>
              </w:rPr>
            </w:pPr>
          </w:p>
          <w:p w:rsidR="00853C1E" w:rsidRDefault="00853C1E">
            <w:pPr>
              <w:spacing w:line="400" w:lineRule="exact"/>
              <w:ind w:left="28" w:right="28"/>
              <w:rPr>
                <w:rFonts w:ascii="Arial" w:eastAsia="標楷體" w:hAnsi="Arial" w:cs="Arial"/>
                <w:szCs w:val="24"/>
              </w:rPr>
            </w:pPr>
            <w:r>
              <w:rPr>
                <w:rFonts w:ascii="Arial" w:eastAsia="標楷體" w:hAnsi="標楷體" w:cs="Arial"/>
                <w:szCs w:val="24"/>
              </w:rPr>
              <w:t>使用表單：</w:t>
            </w:r>
          </w:p>
          <w:p w:rsidR="00853C1E" w:rsidRDefault="00853C1E">
            <w:pPr>
              <w:numPr>
                <w:ilvl w:val="0"/>
                <w:numId w:val="3"/>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各項投資明細表</w:t>
            </w:r>
          </w:p>
          <w:p w:rsidR="00853C1E" w:rsidRDefault="00853C1E">
            <w:pPr>
              <w:spacing w:line="400" w:lineRule="exact"/>
              <w:ind w:right="28"/>
              <w:rPr>
                <w:rFonts w:ascii="Arial" w:eastAsia="標楷體" w:hAnsi="Arial" w:cs="Arial"/>
                <w:bCs/>
                <w:szCs w:val="24"/>
              </w:rPr>
            </w:pPr>
          </w:p>
          <w:p w:rsidR="00853C1E" w:rsidRDefault="00853C1E">
            <w:pPr>
              <w:spacing w:line="400" w:lineRule="exact"/>
              <w:ind w:left="28" w:right="28"/>
              <w:rPr>
                <w:rFonts w:ascii="Arial" w:eastAsia="標楷體" w:hAnsi="Arial" w:cs="Arial"/>
                <w:bCs/>
                <w:szCs w:val="24"/>
              </w:rPr>
            </w:pPr>
          </w:p>
        </w:tc>
      </w:tr>
    </w:tbl>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pStyle w:val="10"/>
        <w:numPr>
          <w:ilvl w:val="0"/>
          <w:numId w:val="1"/>
        </w:numPr>
        <w:tabs>
          <w:tab w:val="left" w:pos="1080"/>
        </w:tabs>
        <w:spacing w:before="0" w:after="0" w:line="400" w:lineRule="exact"/>
        <w:jc w:val="center"/>
        <w:rPr>
          <w:rFonts w:eastAsia="標楷體" w:cs="Arial"/>
          <w:b w:val="0"/>
          <w:sz w:val="40"/>
          <w:szCs w:val="40"/>
        </w:rPr>
      </w:pPr>
      <w:bookmarkStart w:id="5" w:name="_Toc196726902"/>
      <w:r>
        <w:rPr>
          <w:rFonts w:eastAsia="標楷體" w:cs="Arial" w:hint="eastAsia"/>
          <w:b w:val="0"/>
          <w:sz w:val="40"/>
          <w:szCs w:val="40"/>
        </w:rPr>
        <w:t>投資帳務處理</w:t>
      </w:r>
      <w:r>
        <w:rPr>
          <w:rFonts w:eastAsia="標楷體" w:cs="Arial"/>
          <w:b w:val="0"/>
          <w:sz w:val="40"/>
          <w:szCs w:val="40"/>
        </w:rPr>
        <w:t>作業：</w:t>
      </w:r>
      <w:r>
        <w:rPr>
          <w:rFonts w:eastAsia="標楷體" w:cs="Arial"/>
          <w:b w:val="0"/>
          <w:sz w:val="40"/>
          <w:szCs w:val="40"/>
        </w:rPr>
        <w:t>CI-10</w:t>
      </w:r>
      <w:r>
        <w:rPr>
          <w:rFonts w:eastAsia="標楷體" w:cs="Arial" w:hint="eastAsia"/>
          <w:b w:val="0"/>
          <w:sz w:val="40"/>
          <w:szCs w:val="40"/>
        </w:rPr>
        <w:t>4</w:t>
      </w:r>
      <w:r>
        <w:rPr>
          <w:rFonts w:eastAsia="標楷體" w:cs="Arial"/>
          <w:b w:val="0"/>
          <w:sz w:val="40"/>
          <w:szCs w:val="40"/>
        </w:rPr>
        <w:t>00</w:t>
      </w:r>
      <w:bookmarkEnd w:id="5"/>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hint="eastAsia"/>
          <w:b/>
        </w:rPr>
      </w:pPr>
    </w:p>
    <w:p w:rsidR="00853C1E" w:rsidRDefault="00853C1E">
      <w:pPr>
        <w:spacing w:line="400" w:lineRule="exact"/>
        <w:rPr>
          <w:rFonts w:ascii="Arial" w:eastAsia="標楷體" w:hAnsi="Arial" w:cs="Arial"/>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800"/>
        <w:gridCol w:w="9600"/>
        <w:gridCol w:w="2400"/>
      </w:tblGrid>
      <w:tr w:rsidR="00853C1E">
        <w:tblPrEx>
          <w:tblCellMar>
            <w:top w:w="0" w:type="dxa"/>
            <w:bottom w:w="0" w:type="dxa"/>
          </w:tblCellMar>
        </w:tblPrEx>
        <w:trPr>
          <w:tblHeader/>
        </w:trPr>
        <w:tc>
          <w:tcPr>
            <w:tcW w:w="1348"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853C1E" w:rsidRDefault="00853C1E">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853C1E">
        <w:tblPrEx>
          <w:tblCellMar>
            <w:top w:w="0" w:type="dxa"/>
            <w:bottom w:w="0" w:type="dxa"/>
          </w:tblCellMar>
        </w:tblPrEx>
        <w:tc>
          <w:tcPr>
            <w:tcW w:w="1348" w:type="dxa"/>
            <w:tcMar>
              <w:left w:w="57" w:type="dxa"/>
              <w:right w:w="57" w:type="dxa"/>
            </w:tcMar>
          </w:tcPr>
          <w:p w:rsidR="00853C1E" w:rsidRDefault="00853C1E">
            <w:pPr>
              <w:spacing w:line="400" w:lineRule="exact"/>
              <w:jc w:val="both"/>
              <w:rPr>
                <w:rFonts w:ascii="Arial" w:eastAsia="標楷體" w:hAnsi="Arial" w:cs="Arial"/>
                <w:szCs w:val="24"/>
              </w:rPr>
            </w:pPr>
            <w:r>
              <w:rPr>
                <w:rFonts w:ascii="Arial" w:eastAsia="標楷體" w:hAnsi="Arial" w:cs="Arial"/>
                <w:szCs w:val="24"/>
              </w:rPr>
              <w:t>CI-10</w:t>
            </w:r>
            <w:r>
              <w:rPr>
                <w:rFonts w:ascii="Arial" w:eastAsia="標楷體" w:hAnsi="Arial" w:cs="Arial" w:hint="eastAsia"/>
                <w:szCs w:val="24"/>
              </w:rPr>
              <w:t>4</w:t>
            </w:r>
            <w:r>
              <w:rPr>
                <w:rFonts w:ascii="Arial" w:eastAsia="標楷體" w:hAnsi="Arial" w:cs="Arial"/>
                <w:szCs w:val="24"/>
              </w:rPr>
              <w:t>00</w:t>
            </w:r>
          </w:p>
          <w:p w:rsidR="00853C1E" w:rsidRDefault="00853C1E">
            <w:pPr>
              <w:spacing w:line="400" w:lineRule="exact"/>
              <w:jc w:val="both"/>
              <w:rPr>
                <w:rFonts w:ascii="Arial" w:eastAsia="標楷體" w:hAnsi="Arial" w:cs="Arial"/>
                <w:szCs w:val="24"/>
              </w:rPr>
            </w:pPr>
          </w:p>
        </w:tc>
        <w:tc>
          <w:tcPr>
            <w:tcW w:w="1800" w:type="dxa"/>
            <w:tcMar>
              <w:left w:w="57" w:type="dxa"/>
              <w:right w:w="57" w:type="dxa"/>
            </w:tcMar>
          </w:tcPr>
          <w:p w:rsidR="00853C1E" w:rsidRDefault="00853C1E">
            <w:pPr>
              <w:spacing w:line="400" w:lineRule="exact"/>
              <w:ind w:left="28" w:right="28"/>
              <w:jc w:val="both"/>
              <w:rPr>
                <w:rFonts w:ascii="Arial" w:eastAsia="標楷體" w:hAnsi="Arial" w:cs="Arial"/>
                <w:szCs w:val="24"/>
              </w:rPr>
            </w:pPr>
            <w:r>
              <w:rPr>
                <w:rFonts w:ascii="Arial" w:eastAsia="標楷體" w:hAnsi="標楷體" w:cs="Arial" w:hint="eastAsia"/>
                <w:szCs w:val="24"/>
              </w:rPr>
              <w:t>有價證券投資帳務處理</w:t>
            </w:r>
            <w:r>
              <w:rPr>
                <w:rFonts w:ascii="Arial" w:eastAsia="標楷體" w:hAnsi="標楷體" w:cs="Arial"/>
                <w:szCs w:val="24"/>
              </w:rPr>
              <w:t>作業</w:t>
            </w:r>
          </w:p>
          <w:p w:rsidR="00853C1E" w:rsidRDefault="00853C1E">
            <w:pPr>
              <w:spacing w:line="400" w:lineRule="exact"/>
              <w:ind w:left="28" w:right="28"/>
              <w:jc w:val="both"/>
              <w:rPr>
                <w:rFonts w:ascii="Arial" w:eastAsia="標楷體" w:hAnsi="Arial" w:cs="Arial"/>
                <w:szCs w:val="24"/>
              </w:rPr>
            </w:pPr>
          </w:p>
        </w:tc>
        <w:tc>
          <w:tcPr>
            <w:tcW w:w="9600" w:type="dxa"/>
            <w:tcMar>
              <w:left w:w="57" w:type="dxa"/>
              <w:right w:w="57" w:type="dxa"/>
            </w:tcMar>
          </w:tcPr>
          <w:p w:rsidR="00853C1E" w:rsidRDefault="00853C1E">
            <w:pPr>
              <w:pStyle w:val="1"/>
              <w:numPr>
                <w:ilvl w:val="0"/>
                <w:numId w:val="7"/>
              </w:numPr>
              <w:spacing w:line="400" w:lineRule="exact"/>
              <w:jc w:val="both"/>
              <w:rPr>
                <w:rFonts w:ascii="Arial" w:hAnsi="Arial" w:cs="Arial"/>
                <w:szCs w:val="24"/>
              </w:rPr>
            </w:pPr>
            <w:r>
              <w:rPr>
                <w:rFonts w:ascii="Arial" w:cs="Arial"/>
                <w:szCs w:val="24"/>
              </w:rPr>
              <w:t>作業程序：</w:t>
            </w:r>
          </w:p>
          <w:p w:rsidR="00853C1E" w:rsidRDefault="00853C1E">
            <w:pPr>
              <w:numPr>
                <w:ilvl w:val="1"/>
                <w:numId w:val="7"/>
              </w:numPr>
              <w:spacing w:line="400" w:lineRule="exact"/>
              <w:jc w:val="both"/>
              <w:rPr>
                <w:rFonts w:ascii="Arial" w:eastAsia="標楷體" w:hAnsi="Arial" w:cs="Arial"/>
                <w:szCs w:val="24"/>
              </w:rPr>
            </w:pPr>
            <w:r>
              <w:rPr>
                <w:rFonts w:eastAsia="標楷體" w:hint="eastAsia"/>
              </w:rPr>
              <w:t>金融資產及負債</w:t>
            </w:r>
            <w:r>
              <w:rPr>
                <w:rFonts w:ascii="Arial" w:eastAsia="標楷體" w:hAnsi="Arial" w:cs="Arial"/>
              </w:rPr>
              <w:t>、</w:t>
            </w:r>
            <w:r>
              <w:rPr>
                <w:rFonts w:ascii="Arial" w:eastAsia="標楷體" w:hAnsi="Arial" w:cs="Arial" w:hint="eastAsia"/>
              </w:rPr>
              <w:t>長期股權投資</w:t>
            </w:r>
            <w:r>
              <w:rPr>
                <w:rFonts w:eastAsia="標楷體" w:hint="eastAsia"/>
              </w:rPr>
              <w:t>之取得：</w:t>
            </w:r>
          </w:p>
          <w:p w:rsidR="00853C1E" w:rsidRDefault="00853C1E">
            <w:pPr>
              <w:numPr>
                <w:ilvl w:val="0"/>
                <w:numId w:val="14"/>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cs="Arial" w:hint="eastAsia"/>
              </w:rPr>
              <w:t>有關於有價證券投資之取得及處分會計處理應依照一般公認會計原則及公司制定之會計制度規定並辦理</w:t>
            </w:r>
            <w:r>
              <w:rPr>
                <w:rFonts w:ascii="Arial" w:eastAsia="標楷體" w:hAnsi="Arial" w:cs="Arial" w:hint="eastAsia"/>
              </w:rPr>
              <w:t>。</w:t>
            </w:r>
          </w:p>
          <w:p w:rsidR="00853C1E" w:rsidRDefault="00853C1E">
            <w:pPr>
              <w:numPr>
                <w:ilvl w:val="0"/>
                <w:numId w:val="14"/>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rPr>
              <w:t>財務單位應編製</w:t>
            </w:r>
            <w:r>
              <w:rPr>
                <w:rFonts w:ascii="Arial" w:eastAsia="標楷體" w:hAnsi="Arial" w:cs="Arial" w:hint="eastAsia"/>
              </w:rPr>
              <w:t>各項流動性及非流動性之金融資產及長期股權投資明細表</w:t>
            </w:r>
            <w:r>
              <w:rPr>
                <w:rFonts w:ascii="Arial" w:eastAsia="標楷體" w:hAnsi="Arial" w:cs="Arial"/>
              </w:rPr>
              <w:t>，詳細記錄有價證券之名稱、性質、號碼、數量、單位、取得時間、到期日及成本等資料明細，並且保留完整之股息發放與處分記錄，存取記錄及異動明細記錄，另投資之有價證券提供質押或擔保時，應充分揭露</w:t>
            </w:r>
            <w:r>
              <w:rPr>
                <w:rFonts w:ascii="Arial" w:eastAsia="標楷體" w:hAnsi="Arial" w:cs="Arial" w:hint="eastAsia"/>
              </w:rPr>
              <w:t>。</w:t>
            </w:r>
          </w:p>
          <w:p w:rsidR="00853C1E" w:rsidRDefault="00853C1E">
            <w:pPr>
              <w:numPr>
                <w:ilvl w:val="0"/>
                <w:numId w:val="14"/>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rPr>
              <w:t>會計人員應仔細審核相關交易憑證無誤後，依其取得目的</w:t>
            </w:r>
            <w:r>
              <w:rPr>
                <w:rFonts w:ascii="Arial" w:eastAsia="標楷體" w:hAnsi="Arial" w:cs="Arial" w:hint="eastAsia"/>
              </w:rPr>
              <w:t>及性質</w:t>
            </w:r>
            <w:r>
              <w:rPr>
                <w:rFonts w:ascii="Arial" w:eastAsia="標楷體" w:hAnsi="Arial" w:cs="Arial"/>
              </w:rPr>
              <w:t>入帳，並保存有價證券投資買賣、證交稅完稅憑證等，以利事後備查</w:t>
            </w:r>
            <w:r>
              <w:rPr>
                <w:rFonts w:ascii="Arial" w:eastAsia="標楷體" w:hAnsi="Arial" w:cs="Arial" w:hint="eastAsia"/>
              </w:rPr>
              <w:t>。</w:t>
            </w:r>
          </w:p>
          <w:p w:rsidR="00853C1E" w:rsidRDefault="00853C1E">
            <w:pPr>
              <w:numPr>
                <w:ilvl w:val="0"/>
                <w:numId w:val="14"/>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rPr>
              <w:t>長期股權投資對被投資公司有重大影響力者</w:t>
            </w:r>
            <w:r>
              <w:rPr>
                <w:rFonts w:ascii="Arial" w:eastAsia="標楷體" w:hAnsi="Arial" w:cs="Arial"/>
              </w:rPr>
              <w:t>(</w:t>
            </w:r>
            <w:r>
              <w:rPr>
                <w:rFonts w:ascii="Arial" w:eastAsia="標楷體" w:hAnsi="Arial" w:cs="Arial"/>
              </w:rPr>
              <w:t>普通股股權達百分之二十以上至百分之五十者</w:t>
            </w:r>
            <w:r>
              <w:rPr>
                <w:rFonts w:ascii="Arial" w:eastAsia="標楷體" w:hAnsi="Arial" w:cs="Arial"/>
              </w:rPr>
              <w:t>)</w:t>
            </w:r>
            <w:r>
              <w:rPr>
                <w:rFonts w:ascii="Arial" w:eastAsia="標楷體" w:hAnsi="Arial" w:cs="Arial"/>
              </w:rPr>
              <w:t>，應採用權益法評價，但有反證者不在此限</w:t>
            </w:r>
          </w:p>
          <w:p w:rsidR="00853C1E" w:rsidRDefault="00853C1E">
            <w:pPr>
              <w:numPr>
                <w:ilvl w:val="0"/>
                <w:numId w:val="14"/>
              </w:numPr>
              <w:tabs>
                <w:tab w:val="clear" w:pos="908"/>
                <w:tab w:val="num" w:pos="1392"/>
              </w:tabs>
              <w:spacing w:line="400" w:lineRule="exact"/>
              <w:ind w:left="1392" w:hanging="240"/>
              <w:jc w:val="both"/>
              <w:rPr>
                <w:rFonts w:ascii="Arial" w:eastAsia="標楷體" w:hAnsi="Arial" w:cs="Arial" w:hint="eastAsia"/>
              </w:rPr>
            </w:pPr>
            <w:r>
              <w:rPr>
                <w:rFonts w:ascii="Arial" w:eastAsia="標楷體" w:hAnsi="Arial" w:cs="Arial"/>
              </w:rPr>
              <w:t>長期股權投資對被投資公司具有控制能力者</w:t>
            </w:r>
            <w:r>
              <w:rPr>
                <w:rFonts w:ascii="Arial" w:eastAsia="標楷體" w:hAnsi="Arial" w:cs="Arial"/>
              </w:rPr>
              <w:t>(</w:t>
            </w:r>
            <w:r>
              <w:rPr>
                <w:rFonts w:ascii="Arial" w:eastAsia="標楷體" w:hAnsi="Arial" w:cs="Arial"/>
              </w:rPr>
              <w:t>通常佔普通股股權超過百分之五十者</w:t>
            </w:r>
            <w:r>
              <w:rPr>
                <w:rFonts w:ascii="Arial" w:eastAsia="標楷體" w:hAnsi="Arial" w:cs="Arial"/>
              </w:rPr>
              <w:t>)</w:t>
            </w:r>
            <w:r>
              <w:rPr>
                <w:rFonts w:ascii="Arial" w:eastAsia="標楷體" w:hAnsi="Arial" w:cs="Arial"/>
              </w:rPr>
              <w:t>，除採用權益法評價外，若投資公司為公開發行公司，並應另行編製母子公司合併報表，但營業性質不同不宜合併者，或被投資公司之總資產及營業收入未達母公司各該項金額之百分之十者不在此限</w:t>
            </w:r>
            <w:r>
              <w:rPr>
                <w:rFonts w:ascii="Arial" w:eastAsia="標楷體" w:hAnsi="Arial" w:cs="Arial" w:hint="eastAsia"/>
              </w:rPr>
              <w:t>。</w:t>
            </w:r>
          </w:p>
          <w:p w:rsidR="00853C1E" w:rsidRDefault="00853C1E">
            <w:pPr>
              <w:spacing w:line="400" w:lineRule="exact"/>
              <w:ind w:left="1152"/>
              <w:jc w:val="both"/>
              <w:rPr>
                <w:rFonts w:ascii="Arial" w:eastAsia="標楷體" w:hAnsi="Arial" w:cs="Arial"/>
                <w:szCs w:val="24"/>
              </w:rPr>
            </w:pPr>
          </w:p>
          <w:p w:rsidR="00853C1E" w:rsidRDefault="00853C1E">
            <w:pPr>
              <w:numPr>
                <w:ilvl w:val="1"/>
                <w:numId w:val="7"/>
              </w:numPr>
              <w:spacing w:line="400" w:lineRule="exact"/>
              <w:jc w:val="both"/>
              <w:rPr>
                <w:rFonts w:ascii="Arial" w:eastAsia="標楷體" w:hAnsi="Arial" w:cs="Arial"/>
                <w:szCs w:val="24"/>
              </w:rPr>
            </w:pPr>
            <w:r>
              <w:rPr>
                <w:rFonts w:eastAsia="標楷體" w:hint="eastAsia"/>
              </w:rPr>
              <w:t>金融資產及負債</w:t>
            </w:r>
            <w:r>
              <w:rPr>
                <w:rFonts w:ascii="Arial" w:eastAsia="標楷體" w:hAnsi="Arial" w:cs="Arial"/>
              </w:rPr>
              <w:t>、</w:t>
            </w:r>
            <w:r>
              <w:rPr>
                <w:rFonts w:ascii="Arial" w:eastAsia="標楷體" w:hAnsi="Arial" w:cs="Arial" w:hint="eastAsia"/>
              </w:rPr>
              <w:t>長期股權投資</w:t>
            </w:r>
            <w:r>
              <w:rPr>
                <w:rFonts w:ascii="Arial" w:eastAsia="標楷體" w:hAnsi="Arial" w:cs="Arial"/>
              </w:rPr>
              <w:t>之後續評價</w:t>
            </w:r>
            <w:r>
              <w:rPr>
                <w:rFonts w:ascii="Arial" w:eastAsia="標楷體" w:hAnsi="Arial" w:cs="Arial" w:hint="eastAsia"/>
              </w:rPr>
              <w:t>：</w:t>
            </w:r>
          </w:p>
          <w:p w:rsidR="00853C1E" w:rsidRDefault="00853C1E">
            <w:pPr>
              <w:numPr>
                <w:ilvl w:val="0"/>
                <w:numId w:val="15"/>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rPr>
              <w:t>會計單位應定期評估金融資產及負債</w:t>
            </w:r>
            <w:r>
              <w:rPr>
                <w:rFonts w:ascii="Arial" w:eastAsia="標楷體" w:hAnsi="Arial" w:cs="Arial"/>
              </w:rPr>
              <w:t>、</w:t>
            </w:r>
            <w:r>
              <w:rPr>
                <w:rFonts w:ascii="Arial" w:eastAsia="標楷體" w:hAnsi="Arial" w:cs="Arial" w:hint="eastAsia"/>
              </w:rPr>
              <w:t>長期股權投資等投資項目之後續評價並依照一般公認會計原則調整入帳並揭露於公司之財務報導中。</w:t>
            </w:r>
          </w:p>
          <w:p w:rsidR="00853C1E" w:rsidRDefault="00853C1E">
            <w:pPr>
              <w:numPr>
                <w:ilvl w:val="0"/>
                <w:numId w:val="15"/>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rPr>
              <w:t>會計單位應於每一資產負債表日依照一般公認會計原則評估金融資產及負債</w:t>
            </w:r>
            <w:r>
              <w:rPr>
                <w:rFonts w:ascii="Arial" w:eastAsia="標楷體" w:hAnsi="Arial" w:cs="Arial" w:hint="eastAsia"/>
              </w:rPr>
              <w:lastRenderedPageBreak/>
              <w:t>是否</w:t>
            </w:r>
            <w:r>
              <w:rPr>
                <w:rFonts w:ascii="Arial" w:eastAsia="標楷體" w:hAnsi="Arial" w:cs="Arial"/>
              </w:rPr>
              <w:t>已經減損</w:t>
            </w:r>
            <w:r>
              <w:rPr>
                <w:rFonts w:ascii="Arial" w:eastAsia="標楷體" w:hAnsi="Arial" w:cs="Arial" w:hint="eastAsia"/>
              </w:rPr>
              <w:t>。</w:t>
            </w:r>
          </w:p>
          <w:p w:rsidR="00853C1E" w:rsidRDefault="00853C1E">
            <w:pPr>
              <w:numPr>
                <w:ilvl w:val="1"/>
                <w:numId w:val="7"/>
              </w:numPr>
              <w:spacing w:line="400" w:lineRule="exact"/>
              <w:jc w:val="both"/>
              <w:rPr>
                <w:rFonts w:ascii="Arial" w:eastAsia="標楷體" w:hAnsi="Arial" w:cs="Arial" w:hint="eastAsia"/>
                <w:szCs w:val="24"/>
              </w:rPr>
            </w:pPr>
            <w:r>
              <w:rPr>
                <w:rFonts w:ascii="Arial" w:eastAsia="標楷體" w:hAnsi="Arial" w:cs="Arial"/>
                <w:bCs/>
              </w:rPr>
              <w:t>衍生性金融商品與避險交</w:t>
            </w:r>
            <w:r>
              <w:rPr>
                <w:rFonts w:ascii="Arial" w:eastAsia="標楷體" w:hAnsi="Arial" w:cs="Arial" w:hint="eastAsia"/>
                <w:bCs/>
              </w:rPr>
              <w:t>易</w:t>
            </w:r>
          </w:p>
          <w:p w:rsidR="00853C1E" w:rsidRDefault="00853C1E">
            <w:pPr>
              <w:numPr>
                <w:ilvl w:val="2"/>
                <w:numId w:val="22"/>
              </w:numPr>
              <w:tabs>
                <w:tab w:val="clear" w:pos="1868"/>
                <w:tab w:val="num" w:pos="1512"/>
              </w:tabs>
              <w:spacing w:line="400" w:lineRule="exact"/>
              <w:ind w:left="1512" w:hanging="360"/>
              <w:jc w:val="both"/>
              <w:rPr>
                <w:rFonts w:ascii="Arial" w:eastAsia="標楷體" w:hAnsi="Arial" w:cs="Arial" w:hint="eastAsia"/>
                <w:szCs w:val="24"/>
              </w:rPr>
            </w:pPr>
            <w:r>
              <w:rPr>
                <w:rFonts w:ascii="Arial" w:eastAsia="標楷體" w:hAnsi="Arial" w:cs="Arial" w:hint="eastAsia"/>
              </w:rPr>
              <w:t>當公司從事衍生性金融商品與避險交易時</w:t>
            </w:r>
            <w:r>
              <w:rPr>
                <w:rFonts w:ascii="Arial" w:eastAsia="標楷體" w:hAnsi="Arial" w:cs="Arial"/>
              </w:rPr>
              <w:t>，</w:t>
            </w:r>
            <w:r>
              <w:rPr>
                <w:rFonts w:ascii="Arial" w:eastAsia="標楷體" w:hAnsi="Arial" w:cs="Arial" w:hint="eastAsia"/>
              </w:rPr>
              <w:t>會計單位應依照一般公認會計原則之規定作適當之入帳及揭露。</w:t>
            </w:r>
          </w:p>
          <w:p w:rsidR="00853C1E" w:rsidRDefault="00853C1E">
            <w:pPr>
              <w:numPr>
                <w:ilvl w:val="2"/>
                <w:numId w:val="22"/>
              </w:numPr>
              <w:tabs>
                <w:tab w:val="clear" w:pos="1868"/>
                <w:tab w:val="num" w:pos="1512"/>
              </w:tabs>
              <w:spacing w:line="400" w:lineRule="exact"/>
              <w:ind w:left="1512" w:hanging="360"/>
              <w:jc w:val="both"/>
              <w:rPr>
                <w:rFonts w:ascii="Arial" w:eastAsia="標楷體" w:hAnsi="Arial" w:cs="Arial" w:hint="eastAsia"/>
                <w:szCs w:val="24"/>
              </w:rPr>
            </w:pPr>
            <w:r>
              <w:rPr>
                <w:rFonts w:ascii="Arial" w:eastAsia="標楷體" w:hAnsi="Arial" w:cs="Arial" w:hint="eastAsia"/>
              </w:rPr>
              <w:t>其相關交易之內容若屬於應申報事項則依照主管機關及期貨業商業同業公會之規定申報。</w:t>
            </w:r>
          </w:p>
          <w:p w:rsidR="00853C1E" w:rsidRDefault="00853C1E">
            <w:pPr>
              <w:spacing w:line="400" w:lineRule="exact"/>
              <w:jc w:val="both"/>
              <w:rPr>
                <w:rFonts w:ascii="Arial" w:eastAsia="標楷體" w:hAnsi="Arial" w:cs="Arial"/>
                <w:szCs w:val="24"/>
              </w:rPr>
            </w:pPr>
          </w:p>
          <w:p w:rsidR="00853C1E" w:rsidRDefault="00853C1E">
            <w:pPr>
              <w:pStyle w:val="1"/>
              <w:numPr>
                <w:ilvl w:val="0"/>
                <w:numId w:val="7"/>
              </w:numPr>
              <w:spacing w:line="400" w:lineRule="exact"/>
              <w:jc w:val="both"/>
              <w:rPr>
                <w:rFonts w:ascii="Arial" w:hAnsi="Arial" w:cs="Arial"/>
                <w:szCs w:val="24"/>
              </w:rPr>
            </w:pPr>
            <w:r>
              <w:rPr>
                <w:rFonts w:ascii="Arial" w:cs="Arial"/>
                <w:szCs w:val="24"/>
              </w:rPr>
              <w:t>控制重點：</w:t>
            </w:r>
          </w:p>
          <w:p w:rsidR="00853C1E" w:rsidRDefault="00853C1E">
            <w:pPr>
              <w:numPr>
                <w:ilvl w:val="1"/>
                <w:numId w:val="9"/>
              </w:numPr>
              <w:spacing w:line="400" w:lineRule="exact"/>
              <w:jc w:val="both"/>
              <w:rPr>
                <w:rFonts w:ascii="Arial" w:eastAsia="標楷體" w:hAnsi="Arial" w:cs="Arial"/>
                <w:szCs w:val="24"/>
              </w:rPr>
            </w:pPr>
            <w:r>
              <w:rPr>
                <w:rFonts w:ascii="標楷體" w:eastAsia="標楷體" w:hint="eastAsia"/>
              </w:rPr>
              <w:t>會計人員應確認投資買賣之日期與入帳日期是否及時。</w:t>
            </w:r>
          </w:p>
          <w:p w:rsidR="00853C1E" w:rsidRDefault="00853C1E">
            <w:pPr>
              <w:numPr>
                <w:ilvl w:val="1"/>
                <w:numId w:val="9"/>
              </w:numPr>
              <w:spacing w:line="400" w:lineRule="exact"/>
              <w:jc w:val="both"/>
              <w:rPr>
                <w:rFonts w:ascii="Arial" w:eastAsia="標楷體" w:hAnsi="Arial" w:cs="Arial" w:hint="eastAsia"/>
                <w:szCs w:val="24"/>
              </w:rPr>
            </w:pPr>
            <w:r>
              <w:rPr>
                <w:rFonts w:ascii="標楷體" w:eastAsia="標楷體" w:hint="eastAsia"/>
                <w:spacing w:val="14"/>
              </w:rPr>
              <w:t>公司應根據公司資金情況定期更新投資明細表。</w:t>
            </w:r>
          </w:p>
          <w:p w:rsidR="00853C1E" w:rsidRDefault="00853C1E">
            <w:pPr>
              <w:numPr>
                <w:ilvl w:val="1"/>
                <w:numId w:val="9"/>
              </w:numPr>
              <w:spacing w:line="400" w:lineRule="exact"/>
              <w:jc w:val="both"/>
              <w:rPr>
                <w:rFonts w:ascii="Arial" w:eastAsia="標楷體" w:hAnsi="Arial" w:cs="Arial" w:hint="eastAsia"/>
                <w:szCs w:val="24"/>
              </w:rPr>
            </w:pPr>
            <w:r>
              <w:rPr>
                <w:rFonts w:ascii="標楷體" w:eastAsia="標楷體" w:hint="eastAsia"/>
              </w:rPr>
              <w:t>有關於投資之取得、處分、投資收益及後續相關評價之帳務處理應依一般公認會計原則、主管機關公佈之相關法令及本公司「會計制度」之規定入帳並揭露於財務報表中</w:t>
            </w:r>
            <w:r>
              <w:rPr>
                <w:rFonts w:ascii="標楷體" w:eastAsia="標楷體" w:hint="eastAsia"/>
                <w:spacing w:val="14"/>
              </w:rPr>
              <w:t>。</w:t>
            </w: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p w:rsidR="00853C1E" w:rsidRDefault="00853C1E">
            <w:pPr>
              <w:spacing w:line="400" w:lineRule="exact"/>
              <w:jc w:val="both"/>
              <w:rPr>
                <w:rFonts w:ascii="Arial" w:eastAsia="標楷體" w:hAnsi="Arial" w:cs="Arial" w:hint="eastAsia"/>
                <w:szCs w:val="24"/>
              </w:rPr>
            </w:pPr>
          </w:p>
        </w:tc>
        <w:tc>
          <w:tcPr>
            <w:tcW w:w="2400" w:type="dxa"/>
            <w:tcMar>
              <w:left w:w="57" w:type="dxa"/>
              <w:right w:w="57" w:type="dxa"/>
            </w:tcMar>
          </w:tcPr>
          <w:p w:rsidR="00853C1E" w:rsidRDefault="00853C1E">
            <w:pPr>
              <w:spacing w:line="400" w:lineRule="exact"/>
              <w:ind w:left="28" w:right="28"/>
              <w:jc w:val="both"/>
              <w:rPr>
                <w:rFonts w:ascii="Arial" w:eastAsia="標楷體" w:hAnsi="Arial" w:cs="Arial"/>
                <w:szCs w:val="24"/>
              </w:rPr>
            </w:pPr>
            <w:r>
              <w:rPr>
                <w:rFonts w:ascii="Arial" w:eastAsia="標楷體" w:hAnsi="標楷體" w:cs="Arial"/>
                <w:szCs w:val="24"/>
              </w:rPr>
              <w:lastRenderedPageBreak/>
              <w:t>法令規章：</w:t>
            </w:r>
          </w:p>
          <w:p w:rsidR="00853C1E" w:rsidRDefault="00853C1E">
            <w:pPr>
              <w:numPr>
                <w:ilvl w:val="0"/>
                <w:numId w:val="8"/>
              </w:numPr>
              <w:tabs>
                <w:tab w:val="clear" w:pos="508"/>
                <w:tab w:val="num" w:pos="282"/>
              </w:tabs>
              <w:spacing w:line="400" w:lineRule="exact"/>
              <w:ind w:left="282" w:right="28" w:hanging="254"/>
              <w:jc w:val="both"/>
              <w:rPr>
                <w:rFonts w:ascii="Arial" w:eastAsia="標楷體" w:hAnsi="Arial" w:cs="Arial" w:hint="eastAsia"/>
                <w:bCs/>
                <w:szCs w:val="24"/>
              </w:rPr>
            </w:pPr>
            <w:r>
              <w:rPr>
                <w:rFonts w:ascii="Arial" w:eastAsia="標楷體" w:hAnsi="標楷體" w:cs="Arial"/>
                <w:szCs w:val="24"/>
              </w:rPr>
              <w:t>一般公認會計原則</w:t>
            </w:r>
          </w:p>
          <w:p w:rsidR="00853C1E" w:rsidRDefault="00853C1E">
            <w:pPr>
              <w:numPr>
                <w:ilvl w:val="0"/>
                <w:numId w:val="8"/>
              </w:numPr>
              <w:tabs>
                <w:tab w:val="clear" w:pos="508"/>
                <w:tab w:val="num" w:pos="282"/>
              </w:tabs>
              <w:spacing w:line="400" w:lineRule="exact"/>
              <w:ind w:left="282" w:right="28" w:hanging="254"/>
              <w:jc w:val="both"/>
              <w:rPr>
                <w:rFonts w:ascii="Arial" w:eastAsia="標楷體" w:hAnsi="Arial" w:cs="Arial"/>
                <w:bCs/>
                <w:szCs w:val="24"/>
              </w:rPr>
            </w:pPr>
            <w:r>
              <w:rPr>
                <w:rFonts w:ascii="Arial" w:eastAsia="標楷體" w:hAnsi="標楷體" w:cs="Arial" w:hint="eastAsia"/>
                <w:szCs w:val="24"/>
              </w:rPr>
              <w:t>會計制度</w:t>
            </w:r>
          </w:p>
          <w:p w:rsidR="00853C1E" w:rsidRDefault="00853C1E">
            <w:pPr>
              <w:spacing w:line="400" w:lineRule="exact"/>
              <w:ind w:right="28"/>
              <w:jc w:val="both"/>
              <w:rPr>
                <w:rFonts w:ascii="Arial" w:eastAsia="標楷體" w:hAnsi="Arial" w:cs="Arial"/>
                <w:bCs/>
                <w:szCs w:val="24"/>
              </w:rPr>
            </w:pPr>
          </w:p>
          <w:p w:rsidR="00853C1E" w:rsidRDefault="00853C1E">
            <w:pPr>
              <w:spacing w:line="400" w:lineRule="exact"/>
              <w:ind w:left="28" w:right="28"/>
              <w:jc w:val="both"/>
              <w:rPr>
                <w:rFonts w:ascii="Arial" w:eastAsia="標楷體" w:hAnsi="Arial" w:cs="Arial"/>
                <w:szCs w:val="24"/>
              </w:rPr>
            </w:pPr>
            <w:r>
              <w:rPr>
                <w:rFonts w:ascii="Arial" w:eastAsia="標楷體" w:hAnsi="標楷體" w:cs="Arial"/>
                <w:szCs w:val="24"/>
              </w:rPr>
              <w:t>使用表單：</w:t>
            </w:r>
          </w:p>
          <w:p w:rsidR="00853C1E" w:rsidRDefault="00853C1E">
            <w:pPr>
              <w:spacing w:line="400" w:lineRule="exact"/>
              <w:ind w:left="28" w:right="28"/>
              <w:jc w:val="both"/>
              <w:rPr>
                <w:rFonts w:ascii="Arial" w:eastAsia="標楷體" w:hAnsi="Arial" w:cs="Arial"/>
                <w:bCs/>
                <w:szCs w:val="24"/>
              </w:rPr>
            </w:pPr>
            <w:r>
              <w:rPr>
                <w:rFonts w:ascii="Arial" w:eastAsia="標楷體" w:hAnsi="Arial" w:cs="Arial" w:hint="eastAsia"/>
              </w:rPr>
              <w:t>1.</w:t>
            </w:r>
            <w:r>
              <w:rPr>
                <w:rFonts w:ascii="Arial" w:eastAsia="標楷體" w:hAnsi="Arial" w:cs="Arial" w:hint="eastAsia"/>
              </w:rPr>
              <w:t>流動性及非流動性之金融資產及長期股權投資明細表</w:t>
            </w:r>
          </w:p>
          <w:p w:rsidR="00853C1E" w:rsidRDefault="00853C1E">
            <w:pPr>
              <w:spacing w:line="400" w:lineRule="exact"/>
              <w:ind w:right="28"/>
              <w:jc w:val="both"/>
              <w:rPr>
                <w:rFonts w:ascii="Arial" w:eastAsia="標楷體" w:hAnsi="Arial" w:cs="Arial"/>
                <w:bCs/>
                <w:szCs w:val="24"/>
              </w:rPr>
            </w:pPr>
          </w:p>
        </w:tc>
      </w:tr>
    </w:tbl>
    <w:p w:rsidR="00853C1E" w:rsidRDefault="00853C1E">
      <w:pPr>
        <w:spacing w:line="20" w:lineRule="exact"/>
        <w:jc w:val="center"/>
        <w:rPr>
          <w:rFonts w:ascii="Arial" w:eastAsia="標楷體" w:hAnsi="Arial" w:cs="Arial"/>
        </w:rPr>
      </w:pPr>
    </w:p>
    <w:sectPr w:rsidR="00853C1E">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FB0" w:rsidRDefault="00865FB0">
      <w:r>
        <w:separator/>
      </w:r>
    </w:p>
  </w:endnote>
  <w:endnote w:type="continuationSeparator" w:id="0">
    <w:p w:rsidR="00865FB0" w:rsidRDefault="0086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C1E" w:rsidRDefault="00853C1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15</w:t>
    </w:r>
    <w:r>
      <w:rPr>
        <w:rStyle w:val="a4"/>
      </w:rPr>
      <w:fldChar w:fldCharType="end"/>
    </w:r>
  </w:p>
  <w:p w:rsidR="00853C1E" w:rsidRDefault="00853C1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C1E" w:rsidRDefault="00853C1E">
    <w:pPr>
      <w:pStyle w:val="a3"/>
      <w:framePr w:w="646" w:wrap="around" w:vAnchor="text" w:hAnchor="margin" w:xAlign="center" w:y="-3"/>
      <w:rPr>
        <w:rStyle w:val="a4"/>
        <w:rFonts w:ascii="Arial" w:hAnsi="Arial" w:cs="Arial"/>
      </w:rPr>
    </w:pPr>
    <w:r>
      <w:rPr>
        <w:rStyle w:val="a4"/>
        <w:rFonts w:ascii="Arial" w:hAnsi="Arial" w:cs="Arial" w:hint="eastAsia"/>
      </w:rPr>
      <w:t xml:space="preserve">6 - </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74567B">
      <w:rPr>
        <w:rStyle w:val="a4"/>
        <w:rFonts w:ascii="Arial" w:hAnsi="Arial" w:cs="Arial"/>
        <w:noProof/>
      </w:rPr>
      <w:t>1</w:t>
    </w:r>
    <w:r>
      <w:rPr>
        <w:rStyle w:val="a4"/>
        <w:rFonts w:ascii="Arial" w:hAnsi="Arial" w:cs="Arial"/>
      </w:rPr>
      <w:fldChar w:fldCharType="end"/>
    </w:r>
  </w:p>
  <w:p w:rsidR="00853C1E" w:rsidRDefault="00853C1E">
    <w:pPr>
      <w:pStyle w:val="a3"/>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8</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FB0" w:rsidRDefault="00865FB0">
      <w:r>
        <w:separator/>
      </w:r>
    </w:p>
  </w:footnote>
  <w:footnote w:type="continuationSeparator" w:id="0">
    <w:p w:rsidR="00865FB0" w:rsidRDefault="00865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C1E" w:rsidRDefault="00853C1E">
    <w:pPr>
      <w:pStyle w:val="a7"/>
      <w:rPr>
        <w:rFonts w:eastAsia="標楷體" w:hint="eastAsia"/>
      </w:rPr>
    </w:pPr>
    <w:r>
      <w:rPr>
        <w:rFonts w:eastAsia="標楷體" w:hint="eastAsia"/>
      </w:rPr>
      <w:t>期貨信託事業內部控制制度</w:t>
    </w:r>
  </w:p>
  <w:p w:rsidR="00853C1E" w:rsidRDefault="00853C1E">
    <w:pPr>
      <w:pStyle w:val="a7"/>
      <w:rPr>
        <w:rFonts w:eastAsia="標楷體" w:hint="eastAsia"/>
      </w:rPr>
    </w:pPr>
    <w:r>
      <w:rPr>
        <w:rFonts w:eastAsia="標楷體" w:hint="eastAsia"/>
      </w:rPr>
      <w:t>陸、投資循環</w:t>
    </w:r>
  </w:p>
  <w:p w:rsidR="00853C1E" w:rsidRDefault="00853C1E">
    <w:pPr>
      <w:pStyle w:val="a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0606"/>
    <w:multiLevelType w:val="hybridMultilevel"/>
    <w:tmpl w:val="EFAE845C"/>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661E2154">
      <w:start w:val="1"/>
      <w:numFmt w:val="decimal"/>
      <w:lvlText w:val="(%2)"/>
      <w:lvlJc w:val="left"/>
      <w:pPr>
        <w:tabs>
          <w:tab w:val="num" w:pos="1509"/>
        </w:tabs>
        <w:ind w:left="1509" w:hanging="405"/>
      </w:pPr>
      <w:rPr>
        <w:rFonts w:hAnsi="標楷體" w:hint="default"/>
      </w:r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
    <w:nsid w:val="01525A4A"/>
    <w:multiLevelType w:val="hybridMultilevel"/>
    <w:tmpl w:val="0EBECFC4"/>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51C2180"/>
    <w:multiLevelType w:val="hybridMultilevel"/>
    <w:tmpl w:val="E4B21922"/>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nsid w:val="082E7C8F"/>
    <w:multiLevelType w:val="hybridMultilevel"/>
    <w:tmpl w:val="B3E29308"/>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4">
    <w:nsid w:val="0EA86C8D"/>
    <w:multiLevelType w:val="multilevel"/>
    <w:tmpl w:val="2EA6123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1D48039E"/>
    <w:multiLevelType w:val="hybridMultilevel"/>
    <w:tmpl w:val="002E47FE"/>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6">
    <w:nsid w:val="20F510C4"/>
    <w:multiLevelType w:val="multilevel"/>
    <w:tmpl w:val="C5840F38"/>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21B014DB"/>
    <w:multiLevelType w:val="hybridMultilevel"/>
    <w:tmpl w:val="A6904DEC"/>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8">
    <w:nsid w:val="2300732D"/>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263E53FC"/>
    <w:multiLevelType w:val="hybridMultilevel"/>
    <w:tmpl w:val="DC960BF6"/>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5D200D80">
      <w:start w:val="1"/>
      <w:numFmt w:val="taiwaneseCountingThousand"/>
      <w:pStyle w:val="1"/>
      <w:lvlText w:val="%2、"/>
      <w:lvlJc w:val="left"/>
      <w:pPr>
        <w:tabs>
          <w:tab w:val="num" w:pos="1584"/>
        </w:tabs>
        <w:ind w:left="1584" w:hanging="480"/>
      </w:pPr>
      <w:rPr>
        <w:rFonts w:hint="default"/>
        <w:b w:val="0"/>
        <w:i w:val="0"/>
        <w:sz w:val="24"/>
        <w:szCs w:val="24"/>
      </w:r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0">
    <w:nsid w:val="28545721"/>
    <w:multiLevelType w:val="hybridMultilevel"/>
    <w:tmpl w:val="1098EED0"/>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6802A2F4">
      <w:start w:val="1"/>
      <w:numFmt w:val="decimal"/>
      <w:lvlText w:val="(%2)"/>
      <w:lvlJc w:val="left"/>
      <w:pPr>
        <w:tabs>
          <w:tab w:val="num" w:pos="1509"/>
        </w:tabs>
        <w:ind w:left="1509" w:hanging="405"/>
      </w:pPr>
      <w:rPr>
        <w:rFonts w:hint="default"/>
      </w:r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1">
    <w:nsid w:val="2FC97F7A"/>
    <w:multiLevelType w:val="hybridMultilevel"/>
    <w:tmpl w:val="7788430C"/>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nsid w:val="3D692759"/>
    <w:multiLevelType w:val="hybridMultilevel"/>
    <w:tmpl w:val="5EEE3B34"/>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62E43586">
      <w:start w:val="1"/>
      <w:numFmt w:val="decimal"/>
      <w:lvlText w:val="(%2)"/>
      <w:lvlJc w:val="left"/>
      <w:pPr>
        <w:tabs>
          <w:tab w:val="num" w:pos="1629"/>
        </w:tabs>
        <w:ind w:left="1629" w:hanging="525"/>
      </w:pPr>
      <w:rPr>
        <w:rFonts w:hint="default"/>
        <w:b w:val="0"/>
        <w:i w:val="0"/>
        <w:sz w:val="24"/>
        <w:szCs w:val="24"/>
      </w:rPr>
    </w:lvl>
    <w:lvl w:ilvl="2" w:tplc="FFFFFFFF">
      <w:start w:val="1"/>
      <w:numFmt w:val="decimal"/>
      <w:lvlText w:val="%3."/>
      <w:lvlJc w:val="left"/>
      <w:pPr>
        <w:tabs>
          <w:tab w:val="num" w:pos="1868"/>
        </w:tabs>
        <w:ind w:left="1868" w:hanging="284"/>
      </w:pPr>
      <w:rPr>
        <w:rFonts w:ascii="Arial" w:eastAsia="標楷體" w:hAnsi="Arial" w:hint="default"/>
        <w:b w:val="0"/>
        <w:i w:val="0"/>
        <w:sz w:val="24"/>
        <w:szCs w:val="24"/>
      </w:r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3">
    <w:nsid w:val="4B217A1D"/>
    <w:multiLevelType w:val="hybridMultilevel"/>
    <w:tmpl w:val="992A813E"/>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B658E564">
      <w:start w:val="1"/>
      <w:numFmt w:val="decimal"/>
      <w:lvlText w:val="(%2)"/>
      <w:lvlJc w:val="left"/>
      <w:pPr>
        <w:tabs>
          <w:tab w:val="num" w:pos="1464"/>
        </w:tabs>
        <w:ind w:left="1464" w:hanging="360"/>
      </w:pPr>
      <w:rPr>
        <w:rFonts w:hint="default"/>
      </w:rPr>
    </w:lvl>
    <w:lvl w:ilvl="2" w:tplc="B8703E96">
      <w:start w:val="1"/>
      <w:numFmt w:val="lowerLetter"/>
      <w:lvlText w:val="(%3)"/>
      <w:lvlJc w:val="left"/>
      <w:pPr>
        <w:tabs>
          <w:tab w:val="num" w:pos="1989"/>
        </w:tabs>
        <w:ind w:left="1989" w:hanging="405"/>
      </w:pPr>
      <w:rPr>
        <w:rFonts w:hint="default"/>
      </w:r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4">
    <w:nsid w:val="4F0239E6"/>
    <w:multiLevelType w:val="hybridMultilevel"/>
    <w:tmpl w:val="ABFA24BC"/>
    <w:lvl w:ilvl="0" w:tplc="F9EA0A70">
      <w:start w:val="1"/>
      <w:numFmt w:val="decimal"/>
      <w:lvlText w:val="%1."/>
      <w:lvlJc w:val="left"/>
      <w:pPr>
        <w:tabs>
          <w:tab w:val="num" w:pos="388"/>
        </w:tabs>
        <w:ind w:left="388" w:hanging="360"/>
      </w:pPr>
      <w:rPr>
        <w:rFonts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5">
    <w:nsid w:val="4FA11131"/>
    <w:multiLevelType w:val="multilevel"/>
    <w:tmpl w:val="DD48D39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550F6044"/>
    <w:multiLevelType w:val="hybridMultilevel"/>
    <w:tmpl w:val="CF8E2B00"/>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7">
    <w:nsid w:val="56BB7C52"/>
    <w:multiLevelType w:val="hybridMultilevel"/>
    <w:tmpl w:val="2FA646D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8">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
    <w:nsid w:val="6A7B3B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nsid w:val="6B127260"/>
    <w:multiLevelType w:val="multilevel"/>
    <w:tmpl w:val="42DA2F5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76C003F6"/>
    <w:multiLevelType w:val="multilevel"/>
    <w:tmpl w:val="42DA2F5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20"/>
  </w:num>
  <w:num w:numId="3">
    <w:abstractNumId w:val="14"/>
  </w:num>
  <w:num w:numId="4">
    <w:abstractNumId w:val="8"/>
  </w:num>
  <w:num w:numId="5">
    <w:abstractNumId w:val="18"/>
  </w:num>
  <w:num w:numId="6">
    <w:abstractNumId w:val="17"/>
  </w:num>
  <w:num w:numId="7">
    <w:abstractNumId w:val="15"/>
  </w:num>
  <w:num w:numId="8">
    <w:abstractNumId w:val="2"/>
  </w:num>
  <w:num w:numId="9">
    <w:abstractNumId w:val="19"/>
  </w:num>
  <w:num w:numId="10">
    <w:abstractNumId w:val="11"/>
  </w:num>
  <w:num w:numId="11">
    <w:abstractNumId w:val="9"/>
  </w:num>
  <w:num w:numId="12">
    <w:abstractNumId w:val="21"/>
  </w:num>
  <w:num w:numId="13">
    <w:abstractNumId w:val="4"/>
  </w:num>
  <w:num w:numId="14">
    <w:abstractNumId w:val="0"/>
  </w:num>
  <w:num w:numId="15">
    <w:abstractNumId w:val="10"/>
  </w:num>
  <w:num w:numId="16">
    <w:abstractNumId w:val="1"/>
  </w:num>
  <w:num w:numId="17">
    <w:abstractNumId w:val="13"/>
  </w:num>
  <w:num w:numId="18">
    <w:abstractNumId w:val="5"/>
  </w:num>
  <w:num w:numId="19">
    <w:abstractNumId w:val="16"/>
  </w:num>
  <w:num w:numId="20">
    <w:abstractNumId w:val="7"/>
  </w:num>
  <w:num w:numId="21">
    <w:abstractNumId w:val="3"/>
  </w:num>
  <w:num w:numId="22">
    <w:abstractNumId w:val="12"/>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674"/>
    <w:rsid w:val="002B0195"/>
    <w:rsid w:val="00375CFB"/>
    <w:rsid w:val="0074567B"/>
    <w:rsid w:val="00853C1E"/>
    <w:rsid w:val="00865FB0"/>
    <w:rsid w:val="009C4674"/>
    <w:rsid w:val="00BC6E5F"/>
    <w:rsid w:val="00C22CB9"/>
    <w:rsid w:val="00E80D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23"/>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ilvl w:val="1"/>
        <w:numId w:val="11"/>
      </w:numPr>
      <w:tabs>
        <w:tab w:val="clear" w:pos="1584"/>
        <w:tab w:val="num" w:pos="432"/>
        <w:tab w:val="left" w:pos="672"/>
      </w:tabs>
      <w:spacing w:line="420" w:lineRule="exact"/>
      <w:ind w:hanging="1584"/>
    </w:pPr>
    <w:rPr>
      <w:rFonts w:ascii="標楷體" w:eastAsia="標楷體" w:hAnsi="標楷體"/>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szCs w:val="24"/>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9">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a">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23"/>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ilvl w:val="1"/>
        <w:numId w:val="11"/>
      </w:numPr>
      <w:tabs>
        <w:tab w:val="clear" w:pos="1584"/>
        <w:tab w:val="num" w:pos="432"/>
        <w:tab w:val="left" w:pos="672"/>
      </w:tabs>
      <w:spacing w:line="420" w:lineRule="exact"/>
      <w:ind w:hanging="1584"/>
    </w:pPr>
    <w:rPr>
      <w:rFonts w:ascii="標楷體" w:eastAsia="標楷體" w:hAnsi="標楷體"/>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szCs w:val="24"/>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9">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a">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1071</Words>
  <Characters>6111</Characters>
  <Application>Microsoft Office Word</Application>
  <DocSecurity>0</DocSecurity>
  <Lines>50</Lines>
  <Paragraphs>14</Paragraphs>
  <ScaleCrop>false</ScaleCrop>
  <Company>TAIMEX</Company>
  <LinksUpToDate>false</LinksUpToDate>
  <CharactersWithSpaces>7168</CharactersWithSpaces>
  <SharedDoc>false</SharedDoc>
  <HLinks>
    <vt:vector size="24" baseType="variant">
      <vt:variant>
        <vt:i4>2031676</vt:i4>
      </vt:variant>
      <vt:variant>
        <vt:i4>20</vt:i4>
      </vt:variant>
      <vt:variant>
        <vt:i4>0</vt:i4>
      </vt:variant>
      <vt:variant>
        <vt:i4>5</vt:i4>
      </vt:variant>
      <vt:variant>
        <vt:lpwstr/>
      </vt:variant>
      <vt:variant>
        <vt:lpwstr>_Toc196726902</vt:lpwstr>
      </vt:variant>
      <vt:variant>
        <vt:i4>2031676</vt:i4>
      </vt:variant>
      <vt:variant>
        <vt:i4>14</vt:i4>
      </vt:variant>
      <vt:variant>
        <vt:i4>0</vt:i4>
      </vt:variant>
      <vt:variant>
        <vt:i4>5</vt:i4>
      </vt:variant>
      <vt:variant>
        <vt:lpwstr/>
      </vt:variant>
      <vt:variant>
        <vt:lpwstr>_Toc196726901</vt:lpwstr>
      </vt:variant>
      <vt:variant>
        <vt:i4>2031676</vt:i4>
      </vt:variant>
      <vt:variant>
        <vt:i4>8</vt:i4>
      </vt:variant>
      <vt:variant>
        <vt:i4>0</vt:i4>
      </vt:variant>
      <vt:variant>
        <vt:i4>5</vt:i4>
      </vt:variant>
      <vt:variant>
        <vt:lpwstr/>
      </vt:variant>
      <vt:variant>
        <vt:lpwstr>_Toc196726900</vt:lpwstr>
      </vt:variant>
      <vt:variant>
        <vt:i4>1441853</vt:i4>
      </vt:variant>
      <vt:variant>
        <vt:i4>2</vt:i4>
      </vt:variant>
      <vt:variant>
        <vt:i4>0</vt:i4>
      </vt:variant>
      <vt:variant>
        <vt:i4>5</vt:i4>
      </vt:variant>
      <vt:variant>
        <vt:lpwstr/>
      </vt:variant>
      <vt:variant>
        <vt:lpwstr>_Toc196726899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2012-09-11T00:54:00Z</cp:lastPrinted>
  <dcterms:created xsi:type="dcterms:W3CDTF">2019-10-17T10:23:00Z</dcterms:created>
  <dcterms:modified xsi:type="dcterms:W3CDTF">2019-10-17T10:23:00Z</dcterms:modified>
</cp:coreProperties>
</file>