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22A" w:rsidRDefault="001A222A">
      <w:pPr>
        <w:spacing w:line="400" w:lineRule="exact"/>
        <w:jc w:val="center"/>
        <w:rPr>
          <w:rFonts w:ascii="標楷體" w:eastAsia="標楷體" w:hAnsi="標楷體"/>
          <w:sz w:val="32"/>
        </w:rPr>
      </w:pPr>
      <w:bookmarkStart w:id="0" w:name="_GoBack"/>
      <w:bookmarkEnd w:id="0"/>
      <w:r>
        <w:rPr>
          <w:rFonts w:ascii="標楷體" w:eastAsia="標楷體" w:hAnsi="標楷體" w:hint="eastAsia"/>
          <w:sz w:val="32"/>
        </w:rPr>
        <w:t>總　　　則</w:t>
      </w:r>
    </w:p>
    <w:p w:rsidR="001A222A" w:rsidRDefault="001A222A">
      <w:pPr>
        <w:numPr>
          <w:ilvl w:val="0"/>
          <w:numId w:val="2"/>
        </w:numPr>
        <w:spacing w:line="400" w:lineRule="exact"/>
        <w:jc w:val="both"/>
        <w:rPr>
          <w:rFonts w:ascii="標楷體" w:eastAsia="標楷體" w:hAnsi="標楷體" w:hint="eastAsia"/>
        </w:rPr>
      </w:pPr>
      <w:r>
        <w:rPr>
          <w:rFonts w:ascii="標楷體" w:eastAsia="標楷體" w:hAnsi="標楷體" w:hint="eastAsia"/>
        </w:rPr>
        <w:t>訂定依據：</w:t>
      </w:r>
      <w:r>
        <w:rPr>
          <w:rFonts w:ascii="標楷體" w:eastAsia="標楷體" w:hAnsi="標楷體"/>
        </w:rPr>
        <w:br/>
      </w:r>
      <w:r>
        <w:rPr>
          <w:rFonts w:ascii="標楷體" w:eastAsia="標楷體" w:hAnsi="標楷體" w:hint="eastAsia"/>
        </w:rPr>
        <w:t>期貨信託事業管理規則第六條規定，期貨信託事業應依主管機關所訂之證券暨期貨市場各服務事業建立內部控制制度處理準則及同業公會等經主管機關指定之期貨相關機構訂定之期貨信託事業內部控制制度標準規範規定，訂定內部控制制度。</w:t>
      </w:r>
      <w:r>
        <w:rPr>
          <w:rFonts w:ascii="標楷體" w:eastAsia="標楷體" w:hAnsi="標楷體"/>
        </w:rPr>
        <w:br/>
      </w:r>
      <w:r>
        <w:rPr>
          <w:rFonts w:ascii="標楷體" w:eastAsia="標楷體" w:hAnsi="標楷體" w:hint="eastAsia"/>
        </w:rPr>
        <w:t>本標準規範依據主管機關公</w:t>
      </w:r>
      <w:r w:rsidR="00D00B14">
        <w:rPr>
          <w:rFonts w:ascii="標楷體" w:eastAsia="標楷體" w:hAnsi="標楷體" w:hint="eastAsia"/>
        </w:rPr>
        <w:t>布</w:t>
      </w:r>
      <w:r>
        <w:rPr>
          <w:rFonts w:ascii="標楷體" w:eastAsia="標楷體" w:hAnsi="標楷體" w:hint="eastAsia"/>
        </w:rPr>
        <w:t>之「</w:t>
      </w:r>
      <w:hyperlink r:id="rId8" w:history="1">
        <w:r>
          <w:rPr>
            <w:rFonts w:ascii="標楷體" w:eastAsia="標楷體" w:hAnsi="標楷體"/>
          </w:rPr>
          <w:t>證券暨期貨市場各服務事業建立內部控制制度處理準則</w:t>
        </w:r>
      </w:hyperlink>
      <w:r>
        <w:rPr>
          <w:rFonts w:ascii="標楷體" w:eastAsia="標楷體" w:hAnsi="標楷體" w:hint="eastAsia"/>
        </w:rPr>
        <w:t>」等相關法規編製而成。</w:t>
      </w:r>
    </w:p>
    <w:p w:rsidR="001A222A" w:rsidRDefault="001A222A">
      <w:pPr>
        <w:numPr>
          <w:ilvl w:val="0"/>
          <w:numId w:val="2"/>
        </w:numPr>
        <w:spacing w:line="400" w:lineRule="exact"/>
        <w:jc w:val="both"/>
        <w:rPr>
          <w:rFonts w:ascii="標楷體" w:eastAsia="標楷體" w:hAnsi="標楷體" w:hint="eastAsia"/>
        </w:rPr>
      </w:pPr>
      <w:r>
        <w:rPr>
          <w:rFonts w:ascii="標楷體" w:eastAsia="標楷體" w:hAnsi="標楷體" w:hint="eastAsia"/>
        </w:rPr>
        <w:t>各期貨信託事業訂立內部控制制度及內部稽核制度時，應於總則部分至少敘明下列事項：</w:t>
      </w:r>
    </w:p>
    <w:p w:rsidR="001A222A"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Pr>
          <w:rFonts w:ascii="標楷體" w:eastAsia="標楷體" w:hAnsi="標楷體" w:hint="eastAsia"/>
        </w:rPr>
        <w:t>訂定依據</w:t>
      </w:r>
    </w:p>
    <w:p w:rsidR="001A222A"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Pr>
          <w:rFonts w:ascii="標楷體" w:eastAsia="標楷體" w:hAnsi="標楷體" w:hint="eastAsia"/>
        </w:rPr>
        <w:t>內部控制制度之定義、通過程序及設計暨執行準則</w:t>
      </w:r>
    </w:p>
    <w:p w:rsidR="001A222A"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Pr>
          <w:rFonts w:ascii="標楷體" w:eastAsia="標楷體" w:hAnsi="標楷體" w:hint="eastAsia"/>
        </w:rPr>
        <w:t>內部控制之組成要素</w:t>
      </w:r>
    </w:p>
    <w:p w:rsidR="001A222A"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Pr>
          <w:rFonts w:ascii="標楷體" w:eastAsia="標楷體" w:hAnsi="標楷體" w:hint="eastAsia"/>
        </w:rPr>
        <w:t>公司組織結構與部門職掌</w:t>
      </w:r>
    </w:p>
    <w:p w:rsidR="001A222A"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Pr>
          <w:rFonts w:ascii="標楷體" w:eastAsia="標楷體" w:hAnsi="標楷體" w:hint="eastAsia"/>
        </w:rPr>
        <w:t>業務經營原則與方針</w:t>
      </w:r>
    </w:p>
    <w:p w:rsidR="001A222A"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Pr>
          <w:rFonts w:ascii="標楷體" w:eastAsia="標楷體" w:hAnsi="標楷體" w:hint="eastAsia"/>
        </w:rPr>
        <w:t>內部控制制度之內容</w:t>
      </w:r>
    </w:p>
    <w:p w:rsidR="001A222A"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Pr>
          <w:rFonts w:ascii="標楷體" w:eastAsia="標楷體" w:hAnsi="標楷體" w:hint="eastAsia"/>
        </w:rPr>
        <w:t>內部控制制度之設計</w:t>
      </w:r>
    </w:p>
    <w:p w:rsidR="001A222A" w:rsidRPr="005F15E2" w:rsidRDefault="007F3C15">
      <w:pPr>
        <w:numPr>
          <w:ilvl w:val="1"/>
          <w:numId w:val="5"/>
        </w:numPr>
        <w:tabs>
          <w:tab w:val="clear" w:pos="1047"/>
          <w:tab w:val="num" w:pos="1200"/>
        </w:tabs>
        <w:spacing w:line="400" w:lineRule="exact"/>
        <w:ind w:left="1200" w:hanging="480"/>
        <w:jc w:val="both"/>
        <w:rPr>
          <w:rFonts w:ascii="標楷體" w:eastAsia="標楷體" w:hAnsi="標楷體" w:hint="eastAsia"/>
        </w:rPr>
      </w:pPr>
      <w:r w:rsidRPr="007F3C15">
        <w:rPr>
          <w:rFonts w:ascii="標楷體" w:eastAsia="標楷體" w:hAnsi="新細明體" w:hint="eastAsia"/>
        </w:rPr>
        <w:t>內部稽核</w:t>
      </w:r>
      <w:r w:rsidRPr="005F15E2">
        <w:rPr>
          <w:rFonts w:ascii="標楷體" w:eastAsia="標楷體" w:hAnsi="新細明體" w:hint="eastAsia"/>
        </w:rPr>
        <w:t>單位之目的</w:t>
      </w:r>
      <w:r w:rsidRPr="005F15E2">
        <w:rPr>
          <w:rFonts w:ascii="標楷體" w:eastAsia="標楷體" w:hAnsi="新細明體"/>
        </w:rPr>
        <w:t>、職權及責任</w:t>
      </w:r>
    </w:p>
    <w:p w:rsidR="001A222A" w:rsidRPr="005F15E2"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sidRPr="005F15E2">
        <w:rPr>
          <w:rFonts w:ascii="標楷體" w:eastAsia="標楷體" w:hAnsi="標楷體" w:hint="eastAsia"/>
        </w:rPr>
        <w:t>內部稽核作業適用範圍</w:t>
      </w:r>
    </w:p>
    <w:p w:rsidR="001A222A" w:rsidRPr="005F15E2"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sidRPr="005F15E2">
        <w:rPr>
          <w:rFonts w:ascii="標楷體" w:eastAsia="標楷體" w:hAnsi="標楷體" w:hint="eastAsia"/>
        </w:rPr>
        <w:t>內部稽核之職能</w:t>
      </w:r>
    </w:p>
    <w:p w:rsidR="001A222A" w:rsidRPr="005F15E2"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sidRPr="005F15E2">
        <w:rPr>
          <w:rFonts w:ascii="標楷體" w:eastAsia="標楷體" w:hAnsi="標楷體" w:hint="eastAsia"/>
        </w:rPr>
        <w:t>稽核人員之職責</w:t>
      </w:r>
    </w:p>
    <w:p w:rsidR="001A222A" w:rsidRPr="005F15E2"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sidRPr="005F15E2">
        <w:rPr>
          <w:rFonts w:ascii="標楷體" w:eastAsia="標楷體" w:hAnsi="標楷體" w:hint="eastAsia"/>
        </w:rPr>
        <w:t>稽核人員應注意事項</w:t>
      </w:r>
    </w:p>
    <w:p w:rsidR="001A222A" w:rsidRPr="005F15E2" w:rsidRDefault="001A222A">
      <w:pPr>
        <w:numPr>
          <w:ilvl w:val="1"/>
          <w:numId w:val="5"/>
        </w:numPr>
        <w:tabs>
          <w:tab w:val="clear" w:pos="1047"/>
          <w:tab w:val="num" w:pos="1200"/>
        </w:tabs>
        <w:spacing w:line="400" w:lineRule="exact"/>
        <w:ind w:left="1200" w:hanging="480"/>
        <w:jc w:val="both"/>
        <w:rPr>
          <w:rFonts w:ascii="標楷體" w:eastAsia="標楷體" w:hAnsi="標楷體" w:hint="eastAsia"/>
        </w:rPr>
      </w:pPr>
      <w:r w:rsidRPr="005F15E2">
        <w:rPr>
          <w:rFonts w:ascii="標楷體" w:eastAsia="標楷體" w:hAnsi="標楷體" w:hint="eastAsia"/>
        </w:rPr>
        <w:t>自行</w:t>
      </w:r>
      <w:r w:rsidR="007F3C15" w:rsidRPr="005F15E2">
        <w:rPr>
          <w:rFonts w:ascii="標楷體" w:eastAsia="標楷體" w:hAnsi="新細明體" w:hint="eastAsia"/>
        </w:rPr>
        <w:t>評估</w:t>
      </w:r>
      <w:r w:rsidRPr="005F15E2">
        <w:rPr>
          <w:rFonts w:ascii="標楷體" w:eastAsia="標楷體" w:hAnsi="標楷體" w:hint="eastAsia"/>
        </w:rPr>
        <w:t>及內部控制制度聲明書</w:t>
      </w:r>
    </w:p>
    <w:p w:rsidR="001A222A" w:rsidRPr="005F15E2" w:rsidRDefault="001A222A">
      <w:pPr>
        <w:numPr>
          <w:ilvl w:val="0"/>
          <w:numId w:val="2"/>
        </w:numPr>
        <w:spacing w:line="400" w:lineRule="exact"/>
        <w:jc w:val="both"/>
        <w:rPr>
          <w:rFonts w:ascii="標楷體" w:eastAsia="標楷體" w:hAnsi="標楷體" w:hint="eastAsia"/>
        </w:rPr>
      </w:pPr>
      <w:r w:rsidRPr="005F15E2">
        <w:rPr>
          <w:rFonts w:ascii="標楷體" w:eastAsia="標楷體" w:hAnsi="標楷體" w:hint="eastAsia"/>
        </w:rPr>
        <w:t>內部控制制度之定義、通過程序及設計暨執行準則：</w:t>
      </w:r>
    </w:p>
    <w:p w:rsidR="001A222A" w:rsidRPr="005F15E2" w:rsidRDefault="001A222A">
      <w:pPr>
        <w:pStyle w:val="a3"/>
        <w:numPr>
          <w:ilvl w:val="0"/>
          <w:numId w:val="24"/>
        </w:numPr>
        <w:tabs>
          <w:tab w:val="clear" w:pos="1065"/>
          <w:tab w:val="num" w:pos="1440"/>
        </w:tabs>
        <w:adjustRightInd/>
        <w:spacing w:line="400" w:lineRule="exact"/>
        <w:ind w:left="1440" w:hanging="705"/>
        <w:textAlignment w:val="auto"/>
        <w:rPr>
          <w:rFonts w:hAnsi="標楷體" w:hint="eastAsia"/>
          <w:spacing w:val="0"/>
          <w:sz w:val="24"/>
        </w:rPr>
      </w:pPr>
      <w:r w:rsidRPr="005F15E2">
        <w:rPr>
          <w:rFonts w:hAnsi="標楷體" w:hint="eastAsia"/>
          <w:spacing w:val="0"/>
          <w:sz w:val="24"/>
        </w:rPr>
        <w:t>依「證券暨期貨市場各服務事業建立內部控制制度處理準則」第四條之規定，內部控制制度係由</w:t>
      </w:r>
      <w:r w:rsidRPr="005F15E2">
        <w:rPr>
          <w:rFonts w:hAnsi="標楷體"/>
          <w:spacing w:val="0"/>
          <w:sz w:val="24"/>
        </w:rPr>
        <w:t>事業</w:t>
      </w:r>
      <w:r w:rsidRPr="005F15E2">
        <w:rPr>
          <w:rFonts w:hAnsi="標楷體" w:hint="eastAsia"/>
          <w:spacing w:val="0"/>
          <w:sz w:val="24"/>
        </w:rPr>
        <w:t>經理人所設計，董事會通過，並由董事會、經理人及其他員工執行之管理過程，其目的在於促進事業之健全經營，以合理確保下列</w:t>
      </w:r>
      <w:r w:rsidRPr="005F15E2">
        <w:rPr>
          <w:rFonts w:hAnsi="標楷體" w:hint="eastAsia"/>
          <w:spacing w:val="0"/>
          <w:sz w:val="24"/>
        </w:rPr>
        <w:lastRenderedPageBreak/>
        <w:t>目標之達成：</w:t>
      </w:r>
    </w:p>
    <w:p w:rsidR="001A222A" w:rsidRPr="005F15E2" w:rsidRDefault="001A222A">
      <w:pPr>
        <w:pStyle w:val="a3"/>
        <w:numPr>
          <w:ilvl w:val="0"/>
          <w:numId w:val="25"/>
        </w:numPr>
        <w:tabs>
          <w:tab w:val="clear" w:pos="1080"/>
          <w:tab w:val="num" w:pos="1920"/>
        </w:tabs>
        <w:adjustRightInd/>
        <w:spacing w:line="400" w:lineRule="exact"/>
        <w:ind w:left="1920" w:hanging="360"/>
        <w:textAlignment w:val="auto"/>
        <w:rPr>
          <w:rFonts w:ascii="Arial" w:hAnsi="Arial" w:cs="Arial"/>
          <w:spacing w:val="0"/>
          <w:sz w:val="24"/>
        </w:rPr>
      </w:pPr>
      <w:r w:rsidRPr="005F15E2">
        <w:rPr>
          <w:rFonts w:ascii="Arial" w:hAnsi="標楷體" w:cs="Arial"/>
          <w:spacing w:val="0"/>
          <w:sz w:val="24"/>
        </w:rPr>
        <w:t>營運之效果及效率。</w:t>
      </w:r>
    </w:p>
    <w:p w:rsidR="001A222A" w:rsidRPr="005F15E2" w:rsidRDefault="001A222A">
      <w:pPr>
        <w:pStyle w:val="a3"/>
        <w:numPr>
          <w:ilvl w:val="0"/>
          <w:numId w:val="25"/>
        </w:numPr>
        <w:tabs>
          <w:tab w:val="clear" w:pos="1080"/>
          <w:tab w:val="num" w:pos="1920"/>
        </w:tabs>
        <w:adjustRightInd/>
        <w:spacing w:line="400" w:lineRule="exact"/>
        <w:ind w:left="1920" w:hanging="360"/>
        <w:textAlignment w:val="auto"/>
        <w:rPr>
          <w:rFonts w:ascii="Arial" w:hAnsi="Arial" w:cs="Arial"/>
          <w:spacing w:val="0"/>
          <w:sz w:val="24"/>
        </w:rPr>
      </w:pPr>
      <w:r w:rsidRPr="005F15E2">
        <w:rPr>
          <w:rFonts w:ascii="Arial" w:hAnsi="標楷體" w:cs="Arial"/>
          <w:spacing w:val="0"/>
          <w:sz w:val="24"/>
        </w:rPr>
        <w:t>報導</w:t>
      </w:r>
      <w:r w:rsidR="007F3C15" w:rsidRPr="005F15E2">
        <w:rPr>
          <w:rFonts w:hAnsi="新細明體"/>
          <w:spacing w:val="0"/>
          <w:sz w:val="24"/>
        </w:rPr>
        <w:t>具可靠性、及時性、透明性及符合相關規範</w:t>
      </w:r>
      <w:r w:rsidRPr="005F15E2">
        <w:rPr>
          <w:rFonts w:ascii="Arial" w:hAnsi="標楷體" w:cs="Arial"/>
          <w:spacing w:val="0"/>
          <w:sz w:val="24"/>
        </w:rPr>
        <w:t>。</w:t>
      </w:r>
    </w:p>
    <w:p w:rsidR="001A222A" w:rsidRPr="005F15E2" w:rsidRDefault="001A222A">
      <w:pPr>
        <w:pStyle w:val="a3"/>
        <w:numPr>
          <w:ilvl w:val="0"/>
          <w:numId w:val="25"/>
        </w:numPr>
        <w:tabs>
          <w:tab w:val="clear" w:pos="1080"/>
          <w:tab w:val="num" w:pos="1920"/>
        </w:tabs>
        <w:adjustRightInd/>
        <w:spacing w:line="400" w:lineRule="exact"/>
        <w:ind w:left="1920" w:hanging="360"/>
        <w:textAlignment w:val="auto"/>
        <w:rPr>
          <w:rFonts w:ascii="Arial" w:hAnsi="Arial" w:cs="Arial"/>
          <w:spacing w:val="0"/>
          <w:sz w:val="24"/>
        </w:rPr>
      </w:pPr>
      <w:r w:rsidRPr="005F15E2">
        <w:rPr>
          <w:rFonts w:ascii="Arial" w:hAnsi="標楷體" w:cs="Arial"/>
          <w:spacing w:val="0"/>
          <w:sz w:val="24"/>
        </w:rPr>
        <w:t>相關法令</w:t>
      </w:r>
      <w:r w:rsidR="007F3C15" w:rsidRPr="005F15E2">
        <w:rPr>
          <w:rFonts w:hAnsi="新細明體"/>
          <w:spacing w:val="0"/>
          <w:sz w:val="24"/>
        </w:rPr>
        <w:t>規章</w:t>
      </w:r>
      <w:r w:rsidRPr="005F15E2">
        <w:rPr>
          <w:rFonts w:ascii="Arial" w:hAnsi="標楷體" w:cs="Arial"/>
          <w:spacing w:val="0"/>
          <w:sz w:val="24"/>
        </w:rPr>
        <w:t>之遵循。</w:t>
      </w:r>
    </w:p>
    <w:p w:rsidR="001A222A" w:rsidRDefault="001A222A">
      <w:pPr>
        <w:pStyle w:val="a3"/>
        <w:spacing w:line="400" w:lineRule="exact"/>
        <w:ind w:left="1440"/>
        <w:rPr>
          <w:rFonts w:hAnsi="標楷體" w:hint="eastAsia"/>
          <w:spacing w:val="0"/>
          <w:sz w:val="24"/>
        </w:rPr>
      </w:pPr>
      <w:r w:rsidRPr="005F15E2">
        <w:rPr>
          <w:rFonts w:hAnsi="標楷體" w:hint="eastAsia"/>
          <w:spacing w:val="0"/>
          <w:sz w:val="24"/>
        </w:rPr>
        <w:t>前項營運之效果及效率目標，包括獲利、績效及保障資產安全等目標；</w:t>
      </w:r>
      <w:r w:rsidR="007F3C15" w:rsidRPr="005F15E2">
        <w:rPr>
          <w:rFonts w:hAnsi="新細明體"/>
          <w:spacing w:val="0"/>
          <w:sz w:val="24"/>
        </w:rPr>
        <w:t>報導，包括事業內部與外部財務報導及非財務報導。其中外部</w:t>
      </w:r>
      <w:r w:rsidRPr="005F15E2">
        <w:rPr>
          <w:rFonts w:hAnsi="標楷體" w:hint="eastAsia"/>
          <w:spacing w:val="0"/>
          <w:sz w:val="24"/>
        </w:rPr>
        <w:t>財務報導之可靠性目標，包括確保對外之財務報表係依照</w:t>
      </w:r>
      <w:r w:rsidR="0067064B" w:rsidRPr="005F15E2">
        <w:rPr>
          <w:rFonts w:hAnsi="新細明體" w:hint="eastAsia"/>
          <w:spacing w:val="0"/>
          <w:sz w:val="24"/>
        </w:rPr>
        <w:t>主管機關所定期貨信託</w:t>
      </w:r>
      <w:r w:rsidR="0067064B" w:rsidRPr="005F15E2">
        <w:rPr>
          <w:rFonts w:hAnsi="新細明體"/>
          <w:spacing w:val="0"/>
          <w:sz w:val="24"/>
        </w:rPr>
        <w:t>事業財務報告編製規範及</w:t>
      </w:r>
      <w:r w:rsidRPr="005F15E2">
        <w:rPr>
          <w:rFonts w:hAnsi="標楷體" w:hint="eastAsia"/>
          <w:spacing w:val="0"/>
          <w:sz w:val="24"/>
        </w:rPr>
        <w:t>一</w:t>
      </w:r>
      <w:r>
        <w:rPr>
          <w:rFonts w:hAnsi="標楷體" w:hint="eastAsia"/>
          <w:spacing w:val="0"/>
          <w:sz w:val="24"/>
        </w:rPr>
        <w:t>般公認會計原則編製，交易經適當核准等目標。</w:t>
      </w:r>
    </w:p>
    <w:p w:rsidR="001A222A" w:rsidRDefault="001A222A">
      <w:pPr>
        <w:pStyle w:val="HTML"/>
        <w:spacing w:line="400" w:lineRule="exact"/>
        <w:ind w:leftChars="600" w:left="1440"/>
        <w:rPr>
          <w:rFonts w:eastAsia="標楷體" w:hint="eastAsia"/>
          <w:color w:val="auto"/>
        </w:rPr>
      </w:pPr>
      <w:r>
        <w:rPr>
          <w:rFonts w:eastAsia="標楷體"/>
          <w:color w:val="auto"/>
        </w:rPr>
        <w:t>前項所稱一般公認會計原則，係指經</w:t>
      </w:r>
      <w:r>
        <w:rPr>
          <w:rFonts w:eastAsia="標楷體" w:hint="eastAsia"/>
          <w:color w:val="auto"/>
        </w:rPr>
        <w:t>主管機關</w:t>
      </w:r>
      <w:r>
        <w:rPr>
          <w:rFonts w:eastAsia="標楷體"/>
          <w:color w:val="auto"/>
        </w:rPr>
        <w:t>認可之國際財務報導準則、國際會計準則、解釋及解釋公告。</w:t>
      </w:r>
    </w:p>
    <w:p w:rsidR="001A222A" w:rsidRDefault="001A222A">
      <w:pPr>
        <w:pStyle w:val="HTML"/>
        <w:spacing w:line="400" w:lineRule="exact"/>
        <w:ind w:leftChars="600" w:left="1440"/>
        <w:rPr>
          <w:rFonts w:eastAsia="標楷體" w:hint="eastAsia"/>
          <w:color w:val="auto"/>
        </w:rPr>
      </w:pPr>
      <w:r>
        <w:rPr>
          <w:rFonts w:eastAsia="標楷體"/>
          <w:color w:val="auto"/>
        </w:rPr>
        <w:t>期貨</w:t>
      </w:r>
      <w:r>
        <w:rPr>
          <w:rFonts w:eastAsia="標楷體" w:hint="eastAsia"/>
          <w:color w:val="auto"/>
        </w:rPr>
        <w:t>信託事業</w:t>
      </w:r>
      <w:r>
        <w:rPr>
          <w:rFonts w:eastAsia="標楷體"/>
          <w:color w:val="auto"/>
        </w:rPr>
        <w:t>據以編製財務報告之會計事務處理，應依商業會計法及有關法令辦理。</w:t>
      </w:r>
    </w:p>
    <w:p w:rsidR="001A222A" w:rsidRDefault="001A222A">
      <w:pPr>
        <w:pStyle w:val="a3"/>
        <w:numPr>
          <w:ilvl w:val="0"/>
          <w:numId w:val="24"/>
        </w:numPr>
        <w:tabs>
          <w:tab w:val="clear" w:pos="1065"/>
          <w:tab w:val="num" w:pos="1440"/>
        </w:tabs>
        <w:adjustRightInd/>
        <w:spacing w:line="400" w:lineRule="exact"/>
        <w:ind w:left="1440" w:hanging="705"/>
        <w:textAlignment w:val="auto"/>
        <w:rPr>
          <w:rFonts w:hAnsi="標楷體" w:hint="eastAsia"/>
          <w:spacing w:val="0"/>
          <w:sz w:val="24"/>
        </w:rPr>
      </w:pPr>
      <w:r>
        <w:rPr>
          <w:rFonts w:hAnsi="標楷體" w:hint="eastAsia"/>
          <w:spacing w:val="0"/>
          <w:sz w:val="24"/>
        </w:rPr>
        <w:t>依「證券暨期貨市場各服務事業建立內部控制制度處理準則」第五條規定，公司應以書面訂定內部控制制度（含內部稽核實施細則），並經董事會通過，如有董事表示異議且有記錄或書面聲明者，公司應將異議意見連同經董事會通過之內部控制制度送各監察人。已設置獨立董事者，內部控制制度提報董事會討論時，應充分考量各獨立董事之意見，獨立董事如有反對意見或保留意見，應於董事會議事錄載明。</w:t>
      </w:r>
    </w:p>
    <w:p w:rsidR="001A222A" w:rsidRDefault="001A222A">
      <w:pPr>
        <w:pStyle w:val="a3"/>
        <w:spacing w:line="400" w:lineRule="exact"/>
        <w:ind w:left="1440"/>
        <w:rPr>
          <w:rFonts w:hAnsi="標楷體" w:hint="eastAsia"/>
          <w:spacing w:val="0"/>
          <w:sz w:val="24"/>
        </w:rPr>
      </w:pPr>
      <w:r>
        <w:rPr>
          <w:rFonts w:hAnsi="標楷體" w:hint="eastAsia"/>
          <w:spacing w:val="0"/>
          <w:sz w:val="24"/>
        </w:rPr>
        <w:t>公司已依證券交易法規定設置審計委員會者，訂定或修正內部控制制度，應經審計委員會全體實際在任成員二分之一以上同意，並提董事會決議。未經審計委員會全體實際在任成員二分之一以上同意者，得由全體實際在任董事三分之二以上同意行之，並應於董事會議事錄載明審計委員會之決議。</w:t>
      </w:r>
    </w:p>
    <w:p w:rsidR="00F92C54" w:rsidRPr="00F16866" w:rsidRDefault="00F92C54">
      <w:pPr>
        <w:pStyle w:val="a3"/>
        <w:spacing w:line="400" w:lineRule="exact"/>
        <w:ind w:left="1440"/>
        <w:rPr>
          <w:rFonts w:hAnsi="標楷體" w:hint="eastAsia"/>
          <w:color w:val="FF0000"/>
          <w:spacing w:val="0"/>
          <w:sz w:val="24"/>
        </w:rPr>
      </w:pPr>
      <w:r w:rsidRPr="00F16866">
        <w:rPr>
          <w:rFonts w:hAnsi="新細明體" w:hint="eastAsia"/>
          <w:color w:val="FF0000"/>
          <w:spacing w:val="0"/>
          <w:sz w:val="24"/>
          <w:u w:val="single"/>
        </w:rPr>
        <w:t>公司董事會應認知營運所面臨之風險，監督其營運結果，並對於確保建立及維持適 當有效之內部控制制度負有最終之責任。</w:t>
      </w:r>
    </w:p>
    <w:p w:rsidR="001A222A" w:rsidRDefault="001A222A">
      <w:pPr>
        <w:pStyle w:val="a3"/>
        <w:numPr>
          <w:ilvl w:val="0"/>
          <w:numId w:val="24"/>
        </w:numPr>
        <w:tabs>
          <w:tab w:val="clear" w:pos="1065"/>
          <w:tab w:val="num" w:pos="1440"/>
        </w:tabs>
        <w:adjustRightInd/>
        <w:spacing w:line="400" w:lineRule="exact"/>
        <w:ind w:left="1440" w:hanging="705"/>
        <w:textAlignment w:val="auto"/>
        <w:rPr>
          <w:rFonts w:hAnsi="標楷體" w:hint="eastAsia"/>
          <w:spacing w:val="0"/>
          <w:sz w:val="24"/>
        </w:rPr>
      </w:pPr>
      <w:r>
        <w:rPr>
          <w:rFonts w:hAnsi="標楷體" w:hint="eastAsia"/>
          <w:spacing w:val="0"/>
          <w:sz w:val="24"/>
        </w:rPr>
        <w:t>公司應</w:t>
      </w:r>
      <w:r>
        <w:rPr>
          <w:rFonts w:hAnsi="標楷體"/>
          <w:spacing w:val="0"/>
          <w:sz w:val="24"/>
        </w:rPr>
        <w:t>考量</w:t>
      </w:r>
      <w:r>
        <w:rPr>
          <w:rFonts w:hAnsi="標楷體" w:hint="eastAsia"/>
          <w:spacing w:val="0"/>
          <w:sz w:val="24"/>
        </w:rPr>
        <w:t>本事業</w:t>
      </w:r>
      <w:r>
        <w:rPr>
          <w:rFonts w:hAnsi="標楷體"/>
          <w:spacing w:val="0"/>
          <w:sz w:val="24"/>
        </w:rPr>
        <w:t>及子公司（依</w:t>
      </w:r>
      <w:r w:rsidR="006012D0" w:rsidRPr="005F15E2">
        <w:rPr>
          <w:rFonts w:hAnsi="新細明體" w:hint="eastAsia"/>
          <w:spacing w:val="0"/>
          <w:sz w:val="24"/>
        </w:rPr>
        <w:t>主管機關所定期貨信託</w:t>
      </w:r>
      <w:r w:rsidR="007F3C15" w:rsidRPr="005F15E2">
        <w:rPr>
          <w:rFonts w:hAnsi="新細明體"/>
          <w:spacing w:val="0"/>
          <w:sz w:val="24"/>
        </w:rPr>
        <w:t>事業財務報告編製規範</w:t>
      </w:r>
      <w:r>
        <w:rPr>
          <w:rFonts w:ascii="細明體" w:hAnsi="細明體"/>
          <w:spacing w:val="0"/>
          <w:sz w:val="24"/>
          <w:szCs w:val="24"/>
        </w:rPr>
        <w:t>之</w:t>
      </w:r>
      <w:r>
        <w:rPr>
          <w:rFonts w:hAnsi="標楷體"/>
          <w:spacing w:val="0"/>
          <w:sz w:val="24"/>
        </w:rPr>
        <w:t>規定認定之）整體之營運活動</w:t>
      </w:r>
      <w:r>
        <w:rPr>
          <w:rFonts w:hAnsi="標楷體" w:hint="eastAsia"/>
          <w:spacing w:val="0"/>
          <w:sz w:val="24"/>
        </w:rPr>
        <w:t>，設計並確實執行內部控制制度，且</w:t>
      </w:r>
      <w:r>
        <w:rPr>
          <w:rFonts w:hAnsi="標楷體"/>
          <w:spacing w:val="0"/>
          <w:sz w:val="24"/>
        </w:rPr>
        <w:t>應隨時檢討，以因應公司內外在環境</w:t>
      </w:r>
      <w:r>
        <w:rPr>
          <w:rFonts w:hAnsi="標楷體" w:hint="eastAsia"/>
          <w:spacing w:val="0"/>
          <w:sz w:val="24"/>
        </w:rPr>
        <w:t>的</w:t>
      </w:r>
      <w:r>
        <w:rPr>
          <w:rFonts w:hAnsi="標楷體"/>
          <w:spacing w:val="0"/>
          <w:sz w:val="24"/>
        </w:rPr>
        <w:t>變遷，俾確保</w:t>
      </w:r>
      <w:r>
        <w:rPr>
          <w:rFonts w:hAnsi="標楷體" w:hint="eastAsia"/>
          <w:spacing w:val="0"/>
          <w:sz w:val="24"/>
        </w:rPr>
        <w:t>內部控制</w:t>
      </w:r>
      <w:r>
        <w:rPr>
          <w:rFonts w:hAnsi="標楷體"/>
          <w:spacing w:val="0"/>
          <w:sz w:val="24"/>
        </w:rPr>
        <w:t>制度之設計及執行持續有效</w:t>
      </w:r>
      <w:r>
        <w:rPr>
          <w:rFonts w:hAnsi="標楷體" w:hint="eastAsia"/>
          <w:spacing w:val="0"/>
          <w:sz w:val="24"/>
        </w:rPr>
        <w:t>。</w:t>
      </w:r>
    </w:p>
    <w:p w:rsidR="001A222A" w:rsidRPr="005F15E2" w:rsidRDefault="001A222A">
      <w:pPr>
        <w:numPr>
          <w:ilvl w:val="0"/>
          <w:numId w:val="2"/>
        </w:numPr>
        <w:spacing w:line="400" w:lineRule="exact"/>
        <w:jc w:val="both"/>
        <w:rPr>
          <w:rFonts w:ascii="標楷體" w:eastAsia="標楷體" w:hAnsi="標楷體" w:hint="eastAsia"/>
        </w:rPr>
      </w:pPr>
      <w:r>
        <w:rPr>
          <w:rFonts w:ascii="標楷體" w:eastAsia="標楷體" w:hAnsi="標楷體" w:hint="eastAsia"/>
        </w:rPr>
        <w:t>內部控制之組成要素：</w:t>
      </w:r>
      <w:r>
        <w:rPr>
          <w:rFonts w:ascii="標楷體" w:eastAsia="標楷體" w:hAnsi="標楷體"/>
        </w:rPr>
        <w:br/>
      </w:r>
      <w:r w:rsidR="007F3C15" w:rsidRPr="005F15E2">
        <w:rPr>
          <w:rFonts w:ascii="標楷體" w:eastAsia="標楷體" w:hAnsi="新細明體" w:hint="eastAsia"/>
        </w:rPr>
        <w:lastRenderedPageBreak/>
        <w:t>依「證券暨期貨市場各服務事業建立內部控制制度處理準則」第七條之規定，</w:t>
      </w:r>
      <w:r w:rsidRPr="005F15E2">
        <w:rPr>
          <w:rFonts w:ascii="標楷體" w:eastAsia="標楷體" w:hAnsi="標楷體" w:hint="eastAsia"/>
        </w:rPr>
        <w:t>內部控制</w:t>
      </w:r>
      <w:r w:rsidR="007F3C15" w:rsidRPr="005F15E2">
        <w:rPr>
          <w:rFonts w:ascii="標楷體" w:eastAsia="標楷體" w:hAnsi="新細明體" w:hint="eastAsia"/>
        </w:rPr>
        <w:t>應</w:t>
      </w:r>
      <w:r w:rsidRPr="005F15E2">
        <w:rPr>
          <w:rFonts w:ascii="標楷體" w:eastAsia="標楷體" w:hAnsi="標楷體" w:hint="eastAsia"/>
        </w:rPr>
        <w:t>包括下列組成要素：</w:t>
      </w:r>
    </w:p>
    <w:p w:rsidR="001A222A" w:rsidRPr="00D76CD3" w:rsidRDefault="001A222A">
      <w:pPr>
        <w:numPr>
          <w:ilvl w:val="0"/>
          <w:numId w:val="12"/>
        </w:numPr>
        <w:tabs>
          <w:tab w:val="clear" w:pos="1047"/>
          <w:tab w:val="num" w:pos="1320"/>
        </w:tabs>
        <w:spacing w:line="400" w:lineRule="exact"/>
        <w:ind w:left="1320" w:hanging="600"/>
        <w:jc w:val="both"/>
        <w:rPr>
          <w:rFonts w:ascii="標楷體" w:eastAsia="標楷體" w:hAnsi="新細明體" w:hint="eastAsia"/>
          <w:color w:val="0070C0"/>
          <w:u w:val="single"/>
        </w:rPr>
      </w:pPr>
      <w:r w:rsidRPr="005F15E2">
        <w:rPr>
          <w:rFonts w:ascii="標楷體" w:eastAsia="標楷體" w:hAnsi="標楷體" w:hint="eastAsia"/>
        </w:rPr>
        <w:t>控制環境：係</w:t>
      </w:r>
      <w:r w:rsidR="0067064B" w:rsidRPr="005F15E2">
        <w:rPr>
          <w:rFonts w:ascii="標楷體" w:eastAsia="標楷體" w:hAnsi="標楷體"/>
        </w:rPr>
        <w:t>事業設計及執行內部控制制度之基礎。控制環境包括事業之誠信與道德價值、董事會及監察人治理監督責任、組織結構、權責分派、人力資源政策、績效衡量及獎懲等。董事會與經理人應建立內部行為準則，包括訂定董事行為準則、員工行為準則等事項</w:t>
      </w:r>
      <w:r w:rsidRPr="005F15E2">
        <w:rPr>
          <w:rFonts w:ascii="標楷體" w:eastAsia="標楷體" w:hAnsi="標楷體" w:hint="eastAsia"/>
        </w:rPr>
        <w:t>。</w:t>
      </w:r>
      <w:r w:rsidR="00D76CD3" w:rsidRPr="00996AFD">
        <w:rPr>
          <w:rFonts w:ascii="標楷體" w:eastAsia="標楷體" w:hAnsi="新細明體" w:hint="eastAsia"/>
          <w:color w:val="FF0000"/>
          <w:u w:val="single"/>
        </w:rPr>
        <w:t>董事行為準則至少應包括董事發現公司有受重大損害之虞時，應儘速妥適處理，立即通知審計委員會或審計委員會之獨立董事成員或監察人並提報董事會，且應督導公司通報主管機關。</w:t>
      </w:r>
    </w:p>
    <w:p w:rsidR="001A222A" w:rsidRPr="005F15E2" w:rsidRDefault="001A222A">
      <w:pPr>
        <w:numPr>
          <w:ilvl w:val="0"/>
          <w:numId w:val="12"/>
        </w:numPr>
        <w:tabs>
          <w:tab w:val="clear" w:pos="1047"/>
          <w:tab w:val="num" w:pos="1320"/>
        </w:tabs>
        <w:spacing w:line="400" w:lineRule="exact"/>
        <w:ind w:left="1320" w:hanging="600"/>
        <w:jc w:val="both"/>
        <w:rPr>
          <w:rFonts w:ascii="標楷體" w:eastAsia="標楷體" w:hAnsi="標楷體" w:hint="eastAsia"/>
        </w:rPr>
      </w:pPr>
      <w:r w:rsidRPr="005F15E2">
        <w:rPr>
          <w:rFonts w:ascii="標楷體" w:eastAsia="標楷體" w:hAnsi="標楷體" w:hint="eastAsia"/>
        </w:rPr>
        <w:t>風險評估：</w:t>
      </w:r>
      <w:r w:rsidR="006012D0" w:rsidRPr="005F15E2">
        <w:rPr>
          <w:rFonts w:ascii="標楷體" w:eastAsia="標楷體" w:hAnsi="新細明體"/>
        </w:rPr>
        <w:t>風險評估之先決條件為確立各項目標，並與事業不同層級單位相連結，同時需考慮事業目標之適合性。管理階層應考量事業外部環境與商業模式改變之影響，以及可能發生之舞弊情事</w:t>
      </w:r>
      <w:r w:rsidR="007F3C15" w:rsidRPr="005F15E2">
        <w:rPr>
          <w:rFonts w:ascii="標楷體" w:eastAsia="標楷體" w:hAnsi="新細明體"/>
        </w:rPr>
        <w:t>。其評估結果，可協助事業及時設計、修正及執行必要之控制作業</w:t>
      </w:r>
      <w:r w:rsidRPr="005F15E2">
        <w:rPr>
          <w:rFonts w:ascii="標楷體" w:eastAsia="標楷體" w:hAnsi="標楷體" w:hint="eastAsia"/>
        </w:rPr>
        <w:t>。</w:t>
      </w:r>
    </w:p>
    <w:p w:rsidR="001A222A" w:rsidRPr="005F15E2" w:rsidRDefault="001A222A">
      <w:pPr>
        <w:numPr>
          <w:ilvl w:val="0"/>
          <w:numId w:val="12"/>
        </w:numPr>
        <w:tabs>
          <w:tab w:val="clear" w:pos="1047"/>
          <w:tab w:val="num" w:pos="1320"/>
        </w:tabs>
        <w:spacing w:line="400" w:lineRule="exact"/>
        <w:ind w:left="1320" w:hanging="600"/>
        <w:jc w:val="both"/>
        <w:rPr>
          <w:rFonts w:ascii="標楷體" w:eastAsia="標楷體" w:hAnsi="標楷體" w:hint="eastAsia"/>
        </w:rPr>
      </w:pPr>
      <w:r w:rsidRPr="005F15E2">
        <w:rPr>
          <w:rFonts w:ascii="標楷體" w:eastAsia="標楷體" w:hAnsi="標楷體" w:hint="eastAsia"/>
        </w:rPr>
        <w:t>控制作業：係</w:t>
      </w:r>
      <w:r w:rsidR="007F3C15" w:rsidRPr="005F15E2">
        <w:rPr>
          <w:rFonts w:ascii="標楷體" w:eastAsia="標楷體" w:hAnsi="新細明體"/>
        </w:rPr>
        <w:t>指事業依據風險評估結果，採用適當政策與程序之行動，將風險控制在可承受範圍之內。控制作業之執行應包括事業所有層級、業務流程內之各個階段、所有科技環境等範圍及對子公司之監督與管理</w:t>
      </w:r>
      <w:r w:rsidRPr="005F15E2">
        <w:rPr>
          <w:rFonts w:ascii="標楷體" w:eastAsia="標楷體" w:hAnsi="標楷體" w:hint="eastAsia"/>
        </w:rPr>
        <w:t>。</w:t>
      </w:r>
    </w:p>
    <w:p w:rsidR="001A222A" w:rsidRPr="005F15E2" w:rsidRDefault="001A222A">
      <w:pPr>
        <w:numPr>
          <w:ilvl w:val="0"/>
          <w:numId w:val="12"/>
        </w:numPr>
        <w:tabs>
          <w:tab w:val="clear" w:pos="1047"/>
          <w:tab w:val="num" w:pos="1320"/>
        </w:tabs>
        <w:spacing w:line="400" w:lineRule="exact"/>
        <w:ind w:left="1320" w:hanging="600"/>
        <w:jc w:val="both"/>
        <w:rPr>
          <w:rFonts w:ascii="標楷體" w:eastAsia="標楷體" w:hAnsi="標楷體" w:hint="eastAsia"/>
        </w:rPr>
      </w:pPr>
      <w:r w:rsidRPr="005F15E2">
        <w:rPr>
          <w:rFonts w:ascii="標楷體" w:eastAsia="標楷體" w:hAnsi="標楷體" w:hint="eastAsia"/>
        </w:rPr>
        <w:t>資訊</w:t>
      </w:r>
      <w:r w:rsidR="007F3C15" w:rsidRPr="005F15E2">
        <w:rPr>
          <w:rFonts w:ascii="標楷體" w:eastAsia="標楷體" w:hAnsi="新細明體"/>
        </w:rPr>
        <w:t>與溝通：係指事業蒐集、產生及使用來自內部與外部之攸關、具品質之資訊，以支持內部控制其他組成要素之持續運作，並確保資訊在事業內部，及事業與外部之間皆能進行有效溝通。內部控制制度須具備產生規劃、執行、監督等所需資訊及提供資訊需求者適時取得資訊之機制</w:t>
      </w:r>
      <w:r w:rsidRPr="005F15E2">
        <w:rPr>
          <w:rFonts w:ascii="標楷體" w:eastAsia="標楷體" w:hAnsi="標楷體" w:hint="eastAsia"/>
        </w:rPr>
        <w:t>。</w:t>
      </w:r>
    </w:p>
    <w:p w:rsidR="001A222A" w:rsidRPr="005F15E2" w:rsidRDefault="001A222A">
      <w:pPr>
        <w:numPr>
          <w:ilvl w:val="0"/>
          <w:numId w:val="12"/>
        </w:numPr>
        <w:tabs>
          <w:tab w:val="clear" w:pos="1047"/>
          <w:tab w:val="num" w:pos="1320"/>
        </w:tabs>
        <w:spacing w:line="400" w:lineRule="exact"/>
        <w:ind w:left="1320" w:hanging="600"/>
        <w:jc w:val="both"/>
        <w:rPr>
          <w:rFonts w:ascii="標楷體" w:eastAsia="標楷體" w:hAnsi="標楷體" w:hint="eastAsia"/>
        </w:rPr>
      </w:pPr>
      <w:r w:rsidRPr="005F15E2">
        <w:rPr>
          <w:rFonts w:ascii="標楷體" w:eastAsia="標楷體" w:hAnsi="標楷體" w:hint="eastAsia"/>
        </w:rPr>
        <w:t>監督</w:t>
      </w:r>
      <w:r w:rsidR="007F3C15" w:rsidRPr="005F15E2">
        <w:rPr>
          <w:rFonts w:ascii="標楷體" w:eastAsia="標楷體" w:hAnsi="新細明體"/>
        </w:rPr>
        <w:t>作業：係指事業進行持續性評估、個別評估或兩者併行，以確定內部控制制度之各組成要素是否已經存在及持續運作。持續性評估係指不同層級營運過程中之例行評估；個別評估係由內部稽核人員、監察人或董事會等其他人員進行評估。對於所發現之內部控制制度缺失，應向適當層級之管理階層、董事會及監察人溝通，並及時改善</w:t>
      </w:r>
      <w:r w:rsidRPr="005F15E2">
        <w:rPr>
          <w:rFonts w:ascii="標楷體" w:eastAsia="標楷體" w:hAnsi="標楷體" w:hint="eastAsia"/>
        </w:rPr>
        <w:t>。</w:t>
      </w:r>
    </w:p>
    <w:p w:rsidR="001A222A" w:rsidRPr="005F15E2" w:rsidRDefault="001A222A">
      <w:pPr>
        <w:numPr>
          <w:ilvl w:val="0"/>
          <w:numId w:val="2"/>
        </w:numPr>
        <w:spacing w:line="400" w:lineRule="exact"/>
        <w:jc w:val="both"/>
        <w:rPr>
          <w:rFonts w:ascii="標楷體" w:eastAsia="標楷體" w:hAnsi="標楷體" w:hint="eastAsia"/>
        </w:rPr>
      </w:pPr>
      <w:r w:rsidRPr="005F15E2">
        <w:rPr>
          <w:rFonts w:ascii="標楷體" w:eastAsia="標楷體" w:hint="eastAsia"/>
        </w:rPr>
        <w:t>公司組織結構與部門職掌：</w:t>
      </w:r>
    </w:p>
    <w:p w:rsidR="001A222A" w:rsidRPr="005F15E2" w:rsidRDefault="001A222A">
      <w:pPr>
        <w:numPr>
          <w:ilvl w:val="0"/>
          <w:numId w:val="26"/>
        </w:numPr>
        <w:tabs>
          <w:tab w:val="clear" w:pos="1047"/>
          <w:tab w:val="num" w:pos="1320"/>
        </w:tabs>
        <w:spacing w:line="400" w:lineRule="exact"/>
        <w:ind w:left="1320" w:hanging="600"/>
        <w:jc w:val="both"/>
        <w:textDirection w:val="lrTbV"/>
        <w:rPr>
          <w:rFonts w:ascii="標楷體" w:eastAsia="標楷體" w:hAnsi="標楷體" w:hint="eastAsia"/>
        </w:rPr>
      </w:pPr>
      <w:r w:rsidRPr="005F15E2">
        <w:rPr>
          <w:rFonts w:ascii="標楷體" w:eastAsia="標楷體" w:hAnsi="標楷體" w:hint="eastAsia"/>
        </w:rPr>
        <w:t>依據期貨信託事業設置標準第十四條之規定，期貨</w:t>
      </w:r>
      <w:r w:rsidRPr="005F15E2">
        <w:rPr>
          <w:rFonts w:ascii="標楷體" w:eastAsia="標楷體" w:hAnsi="標楷體"/>
        </w:rPr>
        <w:t>信託事業</w:t>
      </w:r>
      <w:r w:rsidRPr="005F15E2">
        <w:rPr>
          <w:rFonts w:ascii="標楷體" w:eastAsia="標楷體" w:hAnsi="標楷體" w:hint="eastAsia"/>
        </w:rPr>
        <w:t>應至少</w:t>
      </w:r>
      <w:r w:rsidRPr="005F15E2">
        <w:rPr>
          <w:rFonts w:ascii="標楷體" w:eastAsia="標楷體" w:hAnsi="標楷體"/>
        </w:rPr>
        <w:t>設</w:t>
      </w:r>
      <w:r w:rsidRPr="005F15E2">
        <w:rPr>
          <w:rFonts w:ascii="標楷體" w:eastAsia="標楷體" w:hAnsi="標楷體" w:hint="eastAsia"/>
        </w:rPr>
        <w:t>置</w:t>
      </w:r>
      <w:r w:rsidRPr="005F15E2">
        <w:rPr>
          <w:rFonts w:ascii="標楷體" w:eastAsia="標楷體" w:hAnsi="標楷體"/>
        </w:rPr>
        <w:t>研究</w:t>
      </w:r>
      <w:r w:rsidRPr="005F15E2">
        <w:rPr>
          <w:rFonts w:ascii="標楷體" w:eastAsia="標楷體" w:hAnsi="標楷體" w:hint="eastAsia"/>
        </w:rPr>
        <w:t>分析</w:t>
      </w:r>
      <w:r w:rsidRPr="005F15E2">
        <w:rPr>
          <w:rFonts w:ascii="標楷體" w:eastAsia="標楷體" w:hAnsi="標楷體"/>
        </w:rPr>
        <w:t>、</w:t>
      </w:r>
      <w:r w:rsidRPr="005F15E2">
        <w:rPr>
          <w:rFonts w:ascii="標楷體" w:eastAsia="標楷體" w:hAnsi="標楷體" w:hint="eastAsia"/>
        </w:rPr>
        <w:t>財務會計及內部稽核部門。期貨</w:t>
      </w:r>
      <w:r w:rsidRPr="005F15E2">
        <w:rPr>
          <w:rFonts w:ascii="標楷體" w:eastAsia="標楷體" w:hAnsi="標楷體"/>
        </w:rPr>
        <w:t>信託事業</w:t>
      </w:r>
      <w:r w:rsidRPr="005F15E2">
        <w:rPr>
          <w:rFonts w:ascii="標楷體" w:eastAsia="標楷體" w:hAnsi="標楷體" w:hint="eastAsia"/>
        </w:rPr>
        <w:t>應依事業規模、業務情況及內部控制之管理需要，配置適足、適任且符合期貨信託事業管理規則所定資格條件之經理人、部門主管及業務員。</w:t>
      </w:r>
    </w:p>
    <w:p w:rsidR="001A222A" w:rsidRPr="005F15E2" w:rsidRDefault="001A222A">
      <w:pPr>
        <w:numPr>
          <w:ilvl w:val="0"/>
          <w:numId w:val="26"/>
        </w:numPr>
        <w:tabs>
          <w:tab w:val="clear" w:pos="1047"/>
          <w:tab w:val="num" w:pos="1320"/>
        </w:tabs>
        <w:spacing w:line="400" w:lineRule="exact"/>
        <w:ind w:left="1320" w:hanging="600"/>
        <w:jc w:val="both"/>
        <w:rPr>
          <w:rFonts w:ascii="標楷體" w:eastAsia="標楷體" w:hAnsi="標楷體" w:hint="eastAsia"/>
        </w:rPr>
      </w:pPr>
      <w:r w:rsidRPr="005F15E2">
        <w:rPr>
          <w:rFonts w:ascii="標楷體" w:eastAsia="標楷體" w:hAnsi="標楷體"/>
        </w:rPr>
        <w:t>應訂定明確之內部組織</w:t>
      </w:r>
      <w:r w:rsidR="00825C12" w:rsidRPr="005F15E2">
        <w:rPr>
          <w:rFonts w:ascii="標楷體" w:eastAsia="標楷體" w:hAnsi="新細明體"/>
        </w:rPr>
        <w:t>結構、呈報體系，及適當權限與責任</w:t>
      </w:r>
      <w:r w:rsidRPr="005F15E2">
        <w:rPr>
          <w:rFonts w:ascii="標楷體" w:eastAsia="標楷體" w:hAnsi="標楷體"/>
        </w:rPr>
        <w:t>，</w:t>
      </w:r>
      <w:r w:rsidRPr="005F15E2">
        <w:rPr>
          <w:rFonts w:ascii="標楷體" w:eastAsia="標楷體" w:hAnsi="標楷體" w:hint="eastAsia"/>
        </w:rPr>
        <w:t>包括公司組織系統圖、部門分工、職權範圍及各項業務之分層負責等應予以敘明(有關各項業務之分層負責劃分，得於法令許可範圍內視情況調整訂定)</w:t>
      </w:r>
      <w:r w:rsidRPr="005F15E2">
        <w:rPr>
          <w:rFonts w:ascii="標楷體" w:eastAsia="標楷體" w:hAnsi="標楷體"/>
        </w:rPr>
        <w:t>，並載明經理人</w:t>
      </w:r>
      <w:r w:rsidRPr="005F15E2">
        <w:rPr>
          <w:rFonts w:ascii="標楷體" w:eastAsia="標楷體" w:hAnsi="標楷體"/>
        </w:rPr>
        <w:lastRenderedPageBreak/>
        <w:t>之設置、職稱、委任與解任</w:t>
      </w:r>
      <w:r w:rsidR="00825C12" w:rsidRPr="005F15E2">
        <w:rPr>
          <w:rFonts w:ascii="標楷體" w:eastAsia="標楷體" w:hAnsi="新細明體"/>
        </w:rPr>
        <w:t>、職權範圍及薪資報酬政策與制度</w:t>
      </w:r>
      <w:r w:rsidRPr="005F15E2">
        <w:rPr>
          <w:rFonts w:ascii="標楷體" w:eastAsia="標楷體" w:hAnsi="標楷體"/>
        </w:rPr>
        <w:t>等事項</w:t>
      </w:r>
      <w:r w:rsidRPr="005F15E2">
        <w:rPr>
          <w:rFonts w:ascii="標楷體" w:eastAsia="標楷體" w:hAnsi="標楷體" w:hint="eastAsia"/>
        </w:rPr>
        <w:t>。</w:t>
      </w:r>
    </w:p>
    <w:p w:rsidR="001A222A" w:rsidRPr="005F15E2" w:rsidRDefault="001A222A">
      <w:pPr>
        <w:numPr>
          <w:ilvl w:val="0"/>
          <w:numId w:val="2"/>
        </w:numPr>
        <w:spacing w:line="400" w:lineRule="exact"/>
        <w:jc w:val="both"/>
        <w:rPr>
          <w:rFonts w:ascii="標楷體" w:eastAsia="標楷體" w:hAnsi="標楷體" w:hint="eastAsia"/>
        </w:rPr>
      </w:pPr>
      <w:r w:rsidRPr="005F15E2">
        <w:rPr>
          <w:rFonts w:ascii="標楷體" w:eastAsia="標楷體" w:hint="eastAsia"/>
        </w:rPr>
        <w:t>業務經營原則與方式：</w:t>
      </w:r>
      <w:r w:rsidRPr="005F15E2">
        <w:rPr>
          <w:rFonts w:ascii="標楷體" w:eastAsia="標楷體"/>
        </w:rPr>
        <w:br/>
      </w:r>
      <w:r w:rsidRPr="005F15E2">
        <w:rPr>
          <w:rFonts w:ascii="標楷體" w:eastAsia="標楷體" w:hAnsi="標楷體" w:hint="eastAsia"/>
        </w:rPr>
        <w:t>包括經營業務內容及範圍、業務經營原則及發展方針等應予以敘明。</w:t>
      </w:r>
    </w:p>
    <w:p w:rsidR="004A0739" w:rsidRDefault="001A222A" w:rsidP="004A0739">
      <w:pPr>
        <w:numPr>
          <w:ilvl w:val="0"/>
          <w:numId w:val="2"/>
        </w:numPr>
        <w:spacing w:line="400" w:lineRule="exact"/>
        <w:jc w:val="both"/>
        <w:rPr>
          <w:rFonts w:ascii="標楷體" w:eastAsia="標楷體" w:hAnsi="標楷體" w:hint="eastAsia"/>
        </w:rPr>
      </w:pPr>
      <w:r w:rsidRPr="005F15E2">
        <w:rPr>
          <w:rFonts w:ascii="標楷體" w:eastAsia="標楷體" w:hAnsi="標楷體" w:hint="eastAsia"/>
        </w:rPr>
        <w:t>內部控制之內容：</w:t>
      </w:r>
    </w:p>
    <w:p w:rsidR="001A222A" w:rsidRPr="005F15E2" w:rsidRDefault="001A222A" w:rsidP="00713793">
      <w:pPr>
        <w:widowControl/>
        <w:tabs>
          <w:tab w:val="left" w:pos="1920"/>
        </w:tabs>
        <w:ind w:leftChars="300" w:left="1188" w:hangingChars="195" w:hanging="468"/>
        <w:rPr>
          <w:rFonts w:ascii="標楷體" w:eastAsia="標楷體" w:hAnsi="標楷體"/>
        </w:rPr>
      </w:pPr>
      <w:r w:rsidRPr="005F15E2">
        <w:rPr>
          <w:rFonts w:ascii="標楷體" w:eastAsia="標楷體" w:hAnsi="標楷體" w:hint="eastAsia"/>
        </w:rPr>
        <w:t>(一)為便於內部控制制度之建立，宜將公司內部之主要活動作系統性之劃分，以相互關連之各項作業形成</w:t>
      </w:r>
      <w:r w:rsidR="00825C12" w:rsidRPr="005F15E2">
        <w:rPr>
          <w:rFonts w:ascii="標楷體" w:eastAsia="標楷體" w:hAnsi="新細明體"/>
        </w:rPr>
        <w:t>營運</w:t>
      </w:r>
      <w:r w:rsidRPr="005F15E2">
        <w:rPr>
          <w:rFonts w:ascii="標楷體" w:eastAsia="標楷體" w:hAnsi="標楷體" w:hint="eastAsia"/>
        </w:rPr>
        <w:t>循環，建立彼此之關係。期貨信託事業之內部控制制度，應訂定下列各種循環類型之控制作業：</w:t>
      </w:r>
    </w:p>
    <w:p w:rsidR="00E16CAC" w:rsidRPr="005F15E2" w:rsidRDefault="001A222A" w:rsidP="00136153">
      <w:pPr>
        <w:pStyle w:val="HTML"/>
        <w:ind w:leftChars="500" w:left="1440" w:hangingChars="100" w:hanging="240"/>
        <w:rPr>
          <w:rFonts w:ascii="標楷體" w:eastAsia="標楷體" w:hAnsi="標楷體"/>
          <w:color w:val="auto"/>
        </w:rPr>
      </w:pPr>
      <w:r w:rsidRPr="005F15E2">
        <w:rPr>
          <w:rFonts w:ascii="標楷體" w:eastAsia="標楷體" w:hAnsi="標楷體" w:hint="eastAsia"/>
          <w:color w:val="auto"/>
        </w:rPr>
        <w:t>1.業務及收入循環：至少應</w:t>
      </w:r>
      <w:r w:rsidRPr="005F15E2">
        <w:rPr>
          <w:rFonts w:eastAsia="標楷體"/>
          <w:color w:val="auto"/>
        </w:rPr>
        <w:t>包括充分瞭解客戶、銷售行為、基金之申購、行銷、操作、出借或借入有價證券、買回、</w:t>
      </w:r>
      <w:r w:rsidR="00713793" w:rsidRPr="005F15E2">
        <w:rPr>
          <w:rFonts w:eastAsia="標楷體"/>
          <w:color w:val="auto"/>
        </w:rPr>
        <w:t>會</w:t>
      </w:r>
      <w:r w:rsidRPr="005F15E2">
        <w:rPr>
          <w:rFonts w:eastAsia="標楷體"/>
          <w:color w:val="auto"/>
        </w:rPr>
        <w:t>計事務處理、短線交易防制、洗錢防制</w:t>
      </w:r>
      <w:r w:rsidR="00E16CAC" w:rsidRPr="00996AFD">
        <w:rPr>
          <w:rFonts w:ascii="標楷體" w:eastAsia="標楷體" w:hAnsi="標楷體" w:cs="Times New Roman" w:hint="eastAsia"/>
          <w:color w:val="FF0000"/>
          <w:szCs w:val="20"/>
          <w:u w:val="single"/>
        </w:rPr>
        <w:t>及打擊資恐機制及相關法令之遵循(包括辨識、衡量、監控洗錢及資恐風險之管理機制)</w:t>
      </w:r>
      <w:r w:rsidRPr="005F15E2">
        <w:rPr>
          <w:rFonts w:eastAsia="標楷體"/>
          <w:color w:val="auto"/>
        </w:rPr>
        <w:t>、受益人會議之召開及表決權之行使</w:t>
      </w:r>
      <w:r w:rsidR="00E16CAC" w:rsidRPr="005F15E2">
        <w:rPr>
          <w:rFonts w:ascii="標楷體" w:eastAsia="標楷體" w:hAnsi="標楷體" w:hint="eastAsia"/>
          <w:color w:val="auto"/>
        </w:rPr>
        <w:t>(含金融消費者保護之管理)</w:t>
      </w:r>
      <w:r w:rsidRPr="00996AFD">
        <w:rPr>
          <w:rFonts w:ascii="標楷體" w:eastAsia="標楷體" w:hAnsi="標楷體" w:cs="Times New Roman"/>
          <w:color w:val="FF0000"/>
          <w:szCs w:val="20"/>
          <w:u w:val="single"/>
        </w:rPr>
        <w:t>。</w:t>
      </w:r>
      <w:r w:rsidR="00424678" w:rsidRPr="00996AFD">
        <w:rPr>
          <w:rFonts w:ascii="標楷體" w:eastAsia="標楷體" w:hAnsi="標楷體" w:hint="eastAsia"/>
          <w:color w:val="FF0000"/>
          <w:u w:val="single"/>
        </w:rPr>
        <w:t>公司設有國內外分公司(或子公司)者，應建立集團整體性防制洗錢及打擊資恐計畫，包括在符合國外分公司(或子公司)當地法令下，以防制洗錢及打擊資恐為目的之集團內資訊分享政策及程序。</w:t>
      </w:r>
    </w:p>
    <w:p w:rsidR="001A222A" w:rsidRPr="005F15E2" w:rsidRDefault="001A222A" w:rsidP="00713793">
      <w:pPr>
        <w:pStyle w:val="HTML"/>
        <w:ind w:leftChars="500" w:left="3360" w:hangingChars="900" w:hanging="2160"/>
        <w:rPr>
          <w:rFonts w:ascii="標楷體" w:eastAsia="標楷體" w:hAnsi="標楷體"/>
          <w:color w:val="auto"/>
        </w:rPr>
      </w:pPr>
      <w:r w:rsidRPr="005F15E2">
        <w:rPr>
          <w:rFonts w:ascii="標楷體" w:eastAsia="標楷體" w:hAnsi="標楷體" w:hint="eastAsia"/>
          <w:color w:val="auto"/>
        </w:rPr>
        <w:t>2.採購及付款循環</w:t>
      </w:r>
    </w:p>
    <w:p w:rsidR="001A222A" w:rsidRPr="005F15E2" w:rsidRDefault="001A222A" w:rsidP="00713793">
      <w:pPr>
        <w:pStyle w:val="HTML"/>
        <w:ind w:leftChars="500" w:left="3360" w:hangingChars="900" w:hanging="2160"/>
        <w:rPr>
          <w:rFonts w:ascii="標楷體" w:eastAsia="標楷體" w:hAnsi="標楷體"/>
          <w:color w:val="auto"/>
        </w:rPr>
      </w:pPr>
      <w:r w:rsidRPr="005F15E2">
        <w:rPr>
          <w:rFonts w:ascii="標楷體" w:eastAsia="標楷體" w:hAnsi="標楷體" w:hint="eastAsia"/>
          <w:color w:val="auto"/>
        </w:rPr>
        <w:t>3.薪工循環</w:t>
      </w:r>
    </w:p>
    <w:p w:rsidR="001A222A" w:rsidRPr="005F15E2" w:rsidRDefault="001A222A" w:rsidP="00713793">
      <w:pPr>
        <w:pStyle w:val="HTML"/>
        <w:ind w:leftChars="500" w:left="3360" w:hangingChars="900" w:hanging="2160"/>
        <w:rPr>
          <w:rFonts w:ascii="標楷體" w:eastAsia="標楷體" w:hAnsi="標楷體"/>
          <w:color w:val="auto"/>
        </w:rPr>
      </w:pPr>
      <w:r w:rsidRPr="005F15E2">
        <w:rPr>
          <w:rFonts w:ascii="標楷體" w:eastAsia="標楷體" w:hAnsi="標楷體" w:hint="eastAsia"/>
          <w:color w:val="auto"/>
        </w:rPr>
        <w:t>4.融資循環</w:t>
      </w:r>
    </w:p>
    <w:p w:rsidR="001A222A" w:rsidRPr="005F15E2" w:rsidRDefault="001A222A" w:rsidP="00713793">
      <w:pPr>
        <w:pStyle w:val="HTML"/>
        <w:ind w:leftChars="500" w:left="3360" w:hangingChars="900" w:hanging="2160"/>
        <w:rPr>
          <w:rFonts w:ascii="標楷體" w:eastAsia="標楷體" w:hAnsi="標楷體"/>
          <w:color w:val="auto"/>
        </w:rPr>
      </w:pPr>
      <w:r w:rsidRPr="005F15E2">
        <w:rPr>
          <w:rFonts w:ascii="標楷體" w:eastAsia="標楷體" w:hAnsi="標楷體" w:hint="eastAsia"/>
          <w:color w:val="auto"/>
        </w:rPr>
        <w:t>5.不動產及設備循環</w:t>
      </w:r>
    </w:p>
    <w:p w:rsidR="001A222A" w:rsidRPr="005F15E2" w:rsidRDefault="001A222A" w:rsidP="00713793">
      <w:pPr>
        <w:pStyle w:val="HTML"/>
        <w:ind w:leftChars="500" w:left="3360" w:hangingChars="900" w:hanging="2160"/>
        <w:rPr>
          <w:rFonts w:ascii="標楷體" w:eastAsia="標楷體" w:hAnsi="標楷體"/>
          <w:color w:val="auto"/>
        </w:rPr>
      </w:pPr>
      <w:r w:rsidRPr="005F15E2">
        <w:rPr>
          <w:rFonts w:ascii="標楷體" w:eastAsia="標楷體" w:hAnsi="標楷體" w:hint="eastAsia"/>
          <w:color w:val="auto"/>
        </w:rPr>
        <w:t>6.投資循環</w:t>
      </w:r>
    </w:p>
    <w:p w:rsidR="001A222A" w:rsidRPr="00713793" w:rsidRDefault="001A222A" w:rsidP="00136153">
      <w:pPr>
        <w:pStyle w:val="HTML"/>
        <w:ind w:leftChars="500" w:left="1440" w:hangingChars="100" w:hanging="240"/>
        <w:rPr>
          <w:rFonts w:ascii="標楷體" w:eastAsia="標楷體" w:hAnsi="標楷體"/>
          <w:color w:val="auto"/>
        </w:rPr>
      </w:pPr>
      <w:r w:rsidRPr="005F15E2">
        <w:rPr>
          <w:rFonts w:ascii="標楷體" w:eastAsia="標楷體" w:hAnsi="標楷體" w:hint="eastAsia"/>
          <w:color w:val="auto"/>
        </w:rPr>
        <w:t>7.電腦作業與資訊提供：</w:t>
      </w:r>
      <w:r w:rsidRPr="00713793">
        <w:rPr>
          <w:rFonts w:ascii="標楷體" w:eastAsia="標楷體" w:hAnsi="標楷體"/>
          <w:color w:val="auto"/>
        </w:rPr>
        <w:t>事業使用電腦化資訊系統處理者，其內部控制制度除資訊部門與使用者部門應明確劃分權責</w:t>
      </w:r>
      <w:r w:rsidR="00713793" w:rsidRPr="00713793">
        <w:rPr>
          <w:rFonts w:ascii="標楷體" w:eastAsia="標楷體" w:hAnsi="標楷體"/>
          <w:color w:val="auto"/>
        </w:rPr>
        <w:t>外，</w:t>
      </w:r>
      <w:r w:rsidRPr="00713793">
        <w:rPr>
          <w:rFonts w:ascii="標楷體" w:eastAsia="標楷體" w:hAnsi="標楷體"/>
          <w:color w:val="auto"/>
        </w:rPr>
        <w:t>至少應包括下列控制作業：</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(1)</w:t>
      </w:r>
      <w:r w:rsidRPr="005F15E2">
        <w:rPr>
          <w:rFonts w:ascii="標楷體" w:eastAsia="標楷體"/>
          <w:color w:val="auto"/>
        </w:rPr>
        <w:t xml:space="preserve">資訊處理部門之功能及職責劃分。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(2)</w:t>
      </w:r>
      <w:r w:rsidRPr="005F15E2">
        <w:rPr>
          <w:rFonts w:ascii="標楷體" w:eastAsia="標楷體"/>
          <w:color w:val="auto"/>
        </w:rPr>
        <w:t xml:space="preserve">系統開發及程式修改之控制。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(3)</w:t>
      </w:r>
      <w:r w:rsidRPr="005F15E2">
        <w:rPr>
          <w:rFonts w:ascii="標楷體" w:eastAsia="標楷體"/>
          <w:color w:val="auto"/>
        </w:rPr>
        <w:t xml:space="preserve">編製系統文書之控制。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(4)</w:t>
      </w:r>
      <w:r w:rsidRPr="005F15E2">
        <w:rPr>
          <w:rFonts w:ascii="標楷體" w:eastAsia="標楷體"/>
          <w:color w:val="auto"/>
        </w:rPr>
        <w:t xml:space="preserve">程式及資料之存取控制。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(5)</w:t>
      </w:r>
      <w:r w:rsidRPr="005F15E2">
        <w:rPr>
          <w:rFonts w:ascii="標楷體" w:eastAsia="標楷體"/>
          <w:color w:val="auto"/>
        </w:rPr>
        <w:t xml:space="preserve">資料輸出入之控制。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(6)</w:t>
      </w:r>
      <w:r w:rsidRPr="005F15E2">
        <w:rPr>
          <w:rFonts w:ascii="標楷體" w:eastAsia="標楷體"/>
          <w:color w:val="auto"/>
        </w:rPr>
        <w:t xml:space="preserve">資料處理之控制。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(7)</w:t>
      </w:r>
      <w:r w:rsidRPr="005F15E2">
        <w:rPr>
          <w:rFonts w:ascii="標楷體" w:eastAsia="標楷體"/>
          <w:color w:val="auto"/>
        </w:rPr>
        <w:t xml:space="preserve">檔案及設備之安全控制。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(8)</w:t>
      </w:r>
      <w:r w:rsidRPr="005F15E2">
        <w:rPr>
          <w:rFonts w:ascii="標楷體" w:eastAsia="標楷體"/>
          <w:color w:val="auto"/>
        </w:rPr>
        <w:t xml:space="preserve">硬體及系統軟體之購置、使用及維護之控制。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(9)</w:t>
      </w:r>
      <w:r w:rsidRPr="005F15E2">
        <w:rPr>
          <w:rFonts w:ascii="標楷體" w:eastAsia="標楷體"/>
          <w:color w:val="auto"/>
        </w:rPr>
        <w:t xml:space="preserve">系統復原計畫制度及測試程序之控制。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lastRenderedPageBreak/>
        <w:t>(10)</w:t>
      </w:r>
      <w:r w:rsidRPr="005F15E2">
        <w:rPr>
          <w:rFonts w:ascii="標楷體" w:eastAsia="標楷體"/>
          <w:color w:val="auto"/>
        </w:rPr>
        <w:t xml:space="preserve">資通安全檢查之控制。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(11)</w:t>
      </w:r>
      <w:r w:rsidRPr="005F15E2">
        <w:rPr>
          <w:rFonts w:ascii="標楷體" w:eastAsia="標楷體"/>
          <w:color w:val="auto"/>
        </w:rPr>
        <w:t>依規定向本會指定網站進行公開資訊申報者，其相關作業之控制。</w:t>
      </w:r>
    </w:p>
    <w:p w:rsidR="001A222A" w:rsidRPr="00713793" w:rsidRDefault="001A222A" w:rsidP="00713793">
      <w:pPr>
        <w:pStyle w:val="HTML"/>
        <w:ind w:leftChars="500" w:left="3360" w:hangingChars="900" w:hanging="2160"/>
        <w:rPr>
          <w:rFonts w:ascii="標楷體" w:eastAsia="標楷體" w:hAnsi="標楷體"/>
          <w:color w:val="auto"/>
        </w:rPr>
      </w:pPr>
      <w:r w:rsidRPr="005F15E2">
        <w:rPr>
          <w:rFonts w:ascii="標楷體" w:eastAsia="標楷體" w:hAnsi="標楷體" w:hint="eastAsia"/>
          <w:color w:val="auto"/>
        </w:rPr>
        <w:t>8.管理控制制度：</w:t>
      </w:r>
      <w:r w:rsidRPr="00713793">
        <w:rPr>
          <w:rFonts w:ascii="標楷體" w:eastAsia="標楷體" w:hAnsi="標楷體"/>
          <w:color w:val="auto"/>
        </w:rPr>
        <w:t>應包括對下列作業之控制：</w:t>
      </w:r>
    </w:p>
    <w:p w:rsidR="001A222A" w:rsidRPr="005F15E2" w:rsidRDefault="001A222A" w:rsidP="00136153">
      <w:pPr>
        <w:pStyle w:val="HTML"/>
        <w:ind w:firstLineChars="600" w:firstLine="1440"/>
        <w:rPr>
          <w:rFonts w:eastAsia="標楷體"/>
          <w:color w:val="auto"/>
        </w:rPr>
      </w:pPr>
      <w:r w:rsidRPr="005F15E2">
        <w:rPr>
          <w:rFonts w:ascii="標楷體" w:eastAsia="標楷體" w:hint="eastAsia"/>
          <w:color w:val="auto"/>
        </w:rPr>
        <w:t>(1)</w:t>
      </w:r>
      <w:r w:rsidRPr="005F15E2">
        <w:rPr>
          <w:rFonts w:eastAsia="標楷體"/>
          <w:color w:val="auto"/>
        </w:rPr>
        <w:t>印鑑使用之管理。</w:t>
      </w:r>
      <w:r w:rsidRPr="005F15E2">
        <w:rPr>
          <w:rFonts w:eastAsia="標楷體"/>
          <w:color w:val="auto"/>
        </w:rPr>
        <w:t xml:space="preserve">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(2)</w:t>
      </w:r>
      <w:r w:rsidRPr="005F15E2">
        <w:rPr>
          <w:rFonts w:ascii="標楷體" w:eastAsia="標楷體"/>
          <w:color w:val="auto"/>
        </w:rPr>
        <w:t xml:space="preserve">票據領用之管理。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(3)</w:t>
      </w:r>
      <w:r w:rsidRPr="005F15E2">
        <w:rPr>
          <w:rFonts w:ascii="標楷體" w:eastAsia="標楷體"/>
          <w:color w:val="auto"/>
        </w:rPr>
        <w:t xml:space="preserve">預算之管理。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(4)</w:t>
      </w:r>
      <w:r w:rsidRPr="005F15E2">
        <w:rPr>
          <w:rFonts w:ascii="標楷體" w:eastAsia="標楷體"/>
          <w:color w:val="auto"/>
        </w:rPr>
        <w:t xml:space="preserve">財產之管理。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(5)</w:t>
      </w:r>
      <w:r w:rsidRPr="005F15E2">
        <w:rPr>
          <w:rFonts w:ascii="標楷體" w:eastAsia="標楷體"/>
          <w:color w:val="auto"/>
        </w:rPr>
        <w:t xml:space="preserve">背書保證之管理。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(6)</w:t>
      </w:r>
      <w:r w:rsidRPr="005F15E2">
        <w:rPr>
          <w:rFonts w:ascii="標楷體" w:eastAsia="標楷體"/>
          <w:color w:val="auto"/>
        </w:rPr>
        <w:t xml:space="preserve">負債承諾及或有事項之管理。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(7)</w:t>
      </w:r>
      <w:r w:rsidRPr="005F15E2">
        <w:rPr>
          <w:rFonts w:ascii="標楷體" w:eastAsia="標楷體"/>
          <w:color w:val="auto"/>
        </w:rPr>
        <w:t xml:space="preserve">職務授權及代理人制度之執行。 </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(8)</w:t>
      </w:r>
      <w:r w:rsidRPr="005F15E2">
        <w:rPr>
          <w:rFonts w:ascii="標楷體" w:eastAsia="標楷體"/>
          <w:color w:val="auto"/>
        </w:rPr>
        <w:t xml:space="preserve">財務及非財務資訊之管理。 </w:t>
      </w:r>
    </w:p>
    <w:p w:rsidR="001A222A" w:rsidRPr="005F15E2" w:rsidRDefault="001A222A" w:rsidP="00136153">
      <w:pPr>
        <w:pStyle w:val="HTML"/>
        <w:ind w:firstLineChars="600" w:firstLine="1440"/>
        <w:rPr>
          <w:rFonts w:eastAsia="標楷體"/>
          <w:color w:val="auto"/>
        </w:rPr>
      </w:pPr>
      <w:r w:rsidRPr="005F15E2">
        <w:rPr>
          <w:rFonts w:ascii="標楷體" w:eastAsia="標楷體" w:hint="eastAsia"/>
          <w:color w:val="auto"/>
        </w:rPr>
        <w:t>(9)</w:t>
      </w:r>
      <w:r w:rsidRPr="005F15E2">
        <w:rPr>
          <w:rFonts w:eastAsia="標楷體"/>
          <w:color w:val="auto"/>
        </w:rPr>
        <w:t>關係人交易之管理。</w:t>
      </w:r>
      <w:r w:rsidRPr="005F15E2">
        <w:rPr>
          <w:rFonts w:eastAsia="標楷體"/>
          <w:color w:val="auto"/>
        </w:rPr>
        <w:t xml:space="preserve"> </w:t>
      </w:r>
    </w:p>
    <w:p w:rsidR="001A222A" w:rsidRPr="005F15E2" w:rsidRDefault="001A222A" w:rsidP="00136153">
      <w:pPr>
        <w:pStyle w:val="HTML"/>
        <w:ind w:leftChars="600" w:left="1920" w:hangingChars="200" w:hanging="480"/>
        <w:rPr>
          <w:rFonts w:eastAsia="標楷體"/>
          <w:color w:val="auto"/>
        </w:rPr>
      </w:pPr>
      <w:r w:rsidRPr="005F15E2">
        <w:rPr>
          <w:rFonts w:ascii="標楷體" w:eastAsia="標楷體" w:hint="eastAsia"/>
          <w:color w:val="auto"/>
        </w:rPr>
        <w:t>(10)</w:t>
      </w:r>
      <w:r w:rsidRPr="005F15E2">
        <w:rPr>
          <w:rFonts w:eastAsia="標楷體"/>
          <w:color w:val="auto"/>
        </w:rPr>
        <w:t>財務報表編製流程之管理</w:t>
      </w:r>
      <w:r w:rsidR="00825C12" w:rsidRPr="005F15E2">
        <w:rPr>
          <w:rFonts w:ascii="標楷體" w:eastAsia="標楷體" w:hAnsi="新細明體"/>
          <w:color w:val="auto"/>
        </w:rPr>
        <w:t>，包括適用國際財務報導準則之管理、會計專業判斷程序、會計政策與估計變動之流程等</w:t>
      </w:r>
      <w:r w:rsidRPr="005F15E2">
        <w:rPr>
          <w:rFonts w:eastAsia="標楷體"/>
          <w:color w:val="auto"/>
        </w:rPr>
        <w:t>。</w:t>
      </w:r>
    </w:p>
    <w:p w:rsidR="001A222A" w:rsidRPr="005F15E2" w:rsidRDefault="001A222A" w:rsidP="00136153">
      <w:pPr>
        <w:pStyle w:val="HTML"/>
        <w:ind w:firstLineChars="600" w:firstLine="1440"/>
        <w:rPr>
          <w:rFonts w:ascii="標楷體" w:eastAsia="標楷體"/>
          <w:color w:val="auto"/>
        </w:rPr>
      </w:pPr>
      <w:r w:rsidRPr="005F15E2">
        <w:rPr>
          <w:rFonts w:ascii="標楷體" w:eastAsia="標楷體" w:hint="eastAsia"/>
          <w:color w:val="auto"/>
        </w:rPr>
        <w:t>(11)</w:t>
      </w:r>
      <w:r w:rsidRPr="005F15E2">
        <w:rPr>
          <w:rFonts w:ascii="標楷體" w:eastAsia="標楷體"/>
          <w:color w:val="auto"/>
        </w:rPr>
        <w:t xml:space="preserve">對子公司之監督與管理。 </w:t>
      </w:r>
    </w:p>
    <w:p w:rsidR="001A222A" w:rsidRPr="005F15E2" w:rsidRDefault="001A222A" w:rsidP="00136153">
      <w:pPr>
        <w:pStyle w:val="HTML"/>
        <w:ind w:firstLineChars="600" w:firstLine="1440"/>
        <w:rPr>
          <w:rFonts w:eastAsia="標楷體" w:hint="eastAsia"/>
          <w:color w:val="auto"/>
        </w:rPr>
      </w:pPr>
      <w:r w:rsidRPr="005F15E2">
        <w:rPr>
          <w:rFonts w:ascii="標楷體" w:eastAsia="標楷體" w:hint="eastAsia"/>
          <w:color w:val="auto"/>
        </w:rPr>
        <w:t>(l2)</w:t>
      </w:r>
      <w:r w:rsidRPr="005F15E2">
        <w:rPr>
          <w:rFonts w:eastAsia="標楷體"/>
          <w:color w:val="auto"/>
        </w:rPr>
        <w:t>法令遵循制度。</w:t>
      </w:r>
    </w:p>
    <w:p w:rsidR="00B05A47" w:rsidRPr="005F15E2" w:rsidRDefault="00B96601" w:rsidP="00136153">
      <w:pPr>
        <w:pStyle w:val="HTML"/>
        <w:ind w:firstLineChars="600" w:firstLine="1440"/>
        <w:rPr>
          <w:rFonts w:ascii="標楷體" w:eastAsia="標楷體" w:hint="eastAsia"/>
          <w:color w:val="auto"/>
        </w:rPr>
      </w:pPr>
      <w:r w:rsidRPr="005F15E2">
        <w:rPr>
          <w:rFonts w:ascii="標楷體" w:eastAsia="標楷體" w:hint="eastAsia"/>
          <w:color w:val="auto"/>
        </w:rPr>
        <w:t>(l3)</w:t>
      </w:r>
      <w:r w:rsidR="00B05A47" w:rsidRPr="005F15E2">
        <w:rPr>
          <w:rFonts w:ascii="標楷體" w:eastAsia="標楷體" w:hint="eastAsia"/>
          <w:color w:val="auto"/>
        </w:rPr>
        <w:t>金融檢查報告之管理。</w:t>
      </w:r>
    </w:p>
    <w:p w:rsidR="00B96601" w:rsidRPr="005F15E2" w:rsidRDefault="00B05A47" w:rsidP="00136153">
      <w:pPr>
        <w:pStyle w:val="HTML"/>
        <w:ind w:firstLineChars="600" w:firstLine="1440"/>
        <w:rPr>
          <w:rFonts w:ascii="標楷體" w:eastAsia="標楷體" w:hint="eastAsia"/>
          <w:color w:val="auto"/>
        </w:rPr>
      </w:pPr>
      <w:r w:rsidRPr="005F15E2">
        <w:rPr>
          <w:rFonts w:ascii="標楷體" w:eastAsia="標楷體" w:hint="eastAsia"/>
          <w:color w:val="auto"/>
        </w:rPr>
        <w:t>(l4)</w:t>
      </w:r>
      <w:r w:rsidR="00B96601" w:rsidRPr="005F15E2">
        <w:rPr>
          <w:rFonts w:ascii="標楷體" w:eastAsia="標楷體" w:hint="eastAsia"/>
          <w:color w:val="auto"/>
        </w:rPr>
        <w:t>金融消費者保護之管理。但依金融消費者保護法第三條第二項排除適用之事業，不在此限</w:t>
      </w:r>
      <w:r w:rsidR="00B96601" w:rsidRPr="005F15E2">
        <w:rPr>
          <w:rFonts w:ascii="標楷體" w:eastAsia="標楷體"/>
          <w:color w:val="auto"/>
        </w:rPr>
        <w:t>。</w:t>
      </w:r>
    </w:p>
    <w:p w:rsidR="00B96601" w:rsidRDefault="00B96601" w:rsidP="00136153">
      <w:pPr>
        <w:pStyle w:val="HTML"/>
        <w:ind w:firstLineChars="600" w:firstLine="1440"/>
        <w:rPr>
          <w:rFonts w:ascii="標楷體" w:eastAsia="標楷體" w:hint="eastAsia"/>
          <w:color w:val="auto"/>
        </w:rPr>
      </w:pPr>
      <w:r w:rsidRPr="005F15E2">
        <w:rPr>
          <w:rFonts w:ascii="標楷體" w:eastAsia="標楷體" w:hint="eastAsia"/>
          <w:color w:val="auto"/>
        </w:rPr>
        <w:t>(l</w:t>
      </w:r>
      <w:r w:rsidR="00B05A47" w:rsidRPr="005F15E2">
        <w:rPr>
          <w:rFonts w:ascii="標楷體" w:eastAsia="標楷體" w:hint="eastAsia"/>
          <w:color w:val="auto"/>
        </w:rPr>
        <w:t>5</w:t>
      </w:r>
      <w:r w:rsidRPr="005F15E2">
        <w:rPr>
          <w:rFonts w:ascii="標楷體" w:eastAsia="標楷體" w:hint="eastAsia"/>
          <w:color w:val="auto"/>
        </w:rPr>
        <w:t>)個人資料保護之管理。</w:t>
      </w:r>
    </w:p>
    <w:p w:rsidR="004B7B21" w:rsidRPr="00996AFD" w:rsidRDefault="004B7B21" w:rsidP="00136153">
      <w:pPr>
        <w:pStyle w:val="HTML"/>
        <w:ind w:firstLineChars="600" w:firstLine="1440"/>
        <w:rPr>
          <w:rFonts w:ascii="標楷體" w:eastAsia="標楷體" w:hint="eastAsia"/>
          <w:color w:val="FF0000"/>
          <w:u w:val="single"/>
        </w:rPr>
      </w:pPr>
      <w:r w:rsidRPr="00996AFD">
        <w:rPr>
          <w:rFonts w:ascii="標楷體" w:eastAsia="標楷體" w:hint="eastAsia"/>
          <w:color w:val="FF0000"/>
          <w:u w:val="single"/>
        </w:rPr>
        <w:t>(16)</w:t>
      </w:r>
      <w:r w:rsidRPr="00996AFD">
        <w:rPr>
          <w:rFonts w:ascii="標楷體" w:eastAsia="標楷體" w:hAnsi="標楷體" w:hint="eastAsia"/>
          <w:color w:val="FF0000"/>
          <w:u w:val="single"/>
        </w:rPr>
        <w:t>重大事件（如：重大違規、遭受重大損失之虞等）處理及通報機制之管理。</w:t>
      </w:r>
    </w:p>
    <w:p w:rsidR="004B7B21" w:rsidRPr="004B7B21" w:rsidRDefault="004B7B21" w:rsidP="00136153">
      <w:pPr>
        <w:pStyle w:val="HTML"/>
        <w:ind w:firstLineChars="600" w:firstLine="1440"/>
        <w:rPr>
          <w:rFonts w:ascii="標楷體" w:eastAsia="標楷體" w:hint="eastAsia"/>
          <w:color w:val="0070C0"/>
          <w:u w:val="single"/>
        </w:rPr>
      </w:pPr>
      <w:r w:rsidRPr="00996AFD">
        <w:rPr>
          <w:rFonts w:ascii="標楷體" w:eastAsia="標楷體" w:hint="eastAsia"/>
          <w:color w:val="FF0000"/>
          <w:u w:val="single"/>
        </w:rPr>
        <w:t>(17)</w:t>
      </w:r>
      <w:r w:rsidRPr="00996AFD">
        <w:rPr>
          <w:rFonts w:ascii="標楷體" w:eastAsia="標楷體" w:hAnsi="標楷體" w:hint="eastAsia"/>
          <w:color w:val="FF0000"/>
          <w:u w:val="single"/>
        </w:rPr>
        <w:t>檢舉制度。</w:t>
      </w:r>
    </w:p>
    <w:p w:rsidR="001A222A" w:rsidRPr="00810AFA" w:rsidRDefault="001A222A">
      <w:pPr>
        <w:widowControl/>
        <w:adjustRightInd/>
        <w:spacing w:line="240" w:lineRule="auto"/>
        <w:ind w:leftChars="350" w:left="1320" w:hangingChars="200" w:hanging="480"/>
        <w:textAlignment w:val="auto"/>
        <w:rPr>
          <w:rFonts w:ascii="標楷體" w:eastAsia="標楷體" w:hAnsi="標楷體" w:cs="細明體" w:hint="eastAsia"/>
        </w:rPr>
      </w:pPr>
      <w:r w:rsidRPr="00810AFA">
        <w:rPr>
          <w:rFonts w:ascii="標楷體" w:eastAsia="標楷體" w:hAnsi="標楷體" w:hint="eastAsia"/>
        </w:rPr>
        <w:t>(</w:t>
      </w:r>
      <w:r w:rsidR="00CA32F3" w:rsidRPr="00810AFA">
        <w:rPr>
          <w:rFonts w:ascii="標楷體" w:eastAsia="標楷體" w:hAnsi="標楷體" w:hint="eastAsia"/>
        </w:rPr>
        <w:t>二</w:t>
      </w:r>
      <w:r w:rsidRPr="00810AFA">
        <w:rPr>
          <w:rFonts w:ascii="標楷體" w:eastAsia="標楷體" w:hAnsi="標楷體" w:hint="eastAsia"/>
        </w:rPr>
        <w:t>)他業兼營期貨信託事業者，內部控制制度應就涉及期貨信託事業部分，依本規範訂定</w:t>
      </w:r>
      <w:r w:rsidRPr="00810AFA">
        <w:rPr>
          <w:rFonts w:ascii="標楷體" w:eastAsia="標楷體" w:hAnsi="標楷體" w:cs="細明體" w:hint="eastAsia"/>
        </w:rPr>
        <w:t>「業務及收入循環」、「薪工循環」、「電腦作業與資訊提供循環」及「管理控制制度」等循環；另應於</w:t>
      </w:r>
      <w:r w:rsidRPr="00810AFA">
        <w:rPr>
          <w:rFonts w:ascii="標楷體" w:eastAsia="標楷體" w:hAnsi="標楷體" w:cs="細明體"/>
        </w:rPr>
        <w:t>內部控制制度載明</w:t>
      </w:r>
      <w:r w:rsidRPr="00810AFA">
        <w:rPr>
          <w:rFonts w:ascii="標楷體" w:eastAsia="標楷體" w:hAnsi="標楷體" w:cs="細明體" w:hint="eastAsia"/>
        </w:rPr>
        <w:t>擔任期貨信託事業之經理人</w:t>
      </w:r>
      <w:r w:rsidRPr="00810AFA">
        <w:rPr>
          <w:rFonts w:ascii="標楷體" w:eastAsia="標楷體" w:hAnsi="標楷體" w:cs="細明體"/>
        </w:rPr>
        <w:t>與業務員之行為</w:t>
      </w:r>
      <w:r w:rsidRPr="00810AFA">
        <w:rPr>
          <w:rFonts w:ascii="標楷體" w:eastAsia="標楷體" w:hAnsi="標楷體" w:cs="細明體" w:hint="eastAsia"/>
        </w:rPr>
        <w:t>及</w:t>
      </w:r>
      <w:r w:rsidRPr="00810AFA">
        <w:rPr>
          <w:rFonts w:ascii="標楷體" w:eastAsia="標楷體" w:hAnsi="標楷體" w:cs="細明體"/>
        </w:rPr>
        <w:t>兼任規範、資訊交互運用、營業設備或營業場所之共用，或為廣告、公開說明會及其他營業促銷活動，不得與受益人或客戶利益衝突或有損害其權益之行為等防範作業</w:t>
      </w:r>
      <w:r w:rsidRPr="00810AFA">
        <w:rPr>
          <w:rFonts w:ascii="標楷體" w:eastAsia="標楷體" w:hAnsi="標楷體" w:cs="細明體" w:hint="eastAsia"/>
        </w:rPr>
        <w:t>及風險區隔事項。</w:t>
      </w:r>
    </w:p>
    <w:p w:rsidR="001A222A" w:rsidRDefault="001A222A">
      <w:pPr>
        <w:widowControl/>
        <w:tabs>
          <w:tab w:val="left" w:pos="1920"/>
        </w:tabs>
        <w:ind w:leftChars="350" w:left="1320" w:hangingChars="200" w:hanging="480"/>
        <w:rPr>
          <w:rFonts w:ascii="標楷體" w:eastAsia="標楷體" w:hAnsi="標楷體" w:hint="eastAsia"/>
        </w:rPr>
      </w:pPr>
      <w:r w:rsidRPr="00810AFA">
        <w:rPr>
          <w:rFonts w:ascii="標楷體" w:eastAsia="標楷體" w:hAnsi="標楷體" w:hint="eastAsia"/>
        </w:rPr>
        <w:t>(</w:t>
      </w:r>
      <w:r w:rsidR="00CA32F3" w:rsidRPr="00810AFA">
        <w:rPr>
          <w:rFonts w:ascii="標楷體" w:eastAsia="標楷體" w:hAnsi="標楷體" w:hint="eastAsia"/>
        </w:rPr>
        <w:t>三</w:t>
      </w:r>
      <w:r w:rsidRPr="00810AFA">
        <w:rPr>
          <w:rFonts w:ascii="標楷體" w:eastAsia="標楷體" w:hAnsi="標楷體" w:hint="eastAsia"/>
        </w:rPr>
        <w:t>)分</w:t>
      </w:r>
      <w:r>
        <w:rPr>
          <w:rFonts w:ascii="標楷體" w:eastAsia="標楷體" w:hAnsi="標楷體" w:hint="eastAsia"/>
        </w:rPr>
        <w:t>支機構內部控制制度應載明分支機構辦理期貨信託基金受益憑證之募集及銷售業務之經理人與業務員之行為及兼任規範。</w:t>
      </w:r>
    </w:p>
    <w:p w:rsidR="001A222A" w:rsidRDefault="001A222A">
      <w:pPr>
        <w:numPr>
          <w:ilvl w:val="0"/>
          <w:numId w:val="2"/>
        </w:numPr>
        <w:spacing w:line="400" w:lineRule="exact"/>
        <w:jc w:val="both"/>
        <w:rPr>
          <w:rFonts w:ascii="標楷體" w:eastAsia="標楷體" w:hAnsi="標楷體"/>
        </w:rPr>
      </w:pPr>
      <w:r>
        <w:rPr>
          <w:rFonts w:ascii="標楷體" w:eastAsia="標楷體" w:hint="eastAsia"/>
        </w:rPr>
        <w:t>內部控制制度之設計：</w:t>
      </w:r>
      <w:r>
        <w:rPr>
          <w:rFonts w:ascii="標楷體" w:eastAsia="標楷體"/>
        </w:rPr>
        <w:br/>
      </w:r>
      <w:r>
        <w:rPr>
          <w:rFonts w:ascii="標楷體" w:eastAsia="標楷體" w:hAnsi="標楷體" w:hint="eastAsia"/>
        </w:rPr>
        <w:lastRenderedPageBreak/>
        <w:t>內部控制制度之建立，須針對各公司之特定情況而設計。公司之最高主管、各部門主管、企劃幕僚、稽核人員，以及各業務單位相關人員，應組成內部控制制度設計作業小組，參與設計：</w:t>
      </w:r>
    </w:p>
    <w:p w:rsidR="001A222A" w:rsidRDefault="001A222A">
      <w:pPr>
        <w:numPr>
          <w:ilvl w:val="0"/>
          <w:numId w:val="14"/>
        </w:numPr>
        <w:tabs>
          <w:tab w:val="clear" w:pos="1369"/>
          <w:tab w:val="num" w:pos="1320"/>
        </w:tabs>
        <w:spacing w:line="400" w:lineRule="exact"/>
        <w:ind w:left="1320" w:hanging="600"/>
        <w:jc w:val="both"/>
        <w:rPr>
          <w:rFonts w:ascii="標楷體" w:eastAsia="標楷體" w:hAnsi="標楷體"/>
        </w:rPr>
      </w:pPr>
      <w:r>
        <w:rPr>
          <w:rFonts w:ascii="標楷體" w:eastAsia="標楷體" w:hAnsi="標楷體" w:hint="eastAsia"/>
        </w:rPr>
        <w:t>設計之內容包括：</w:t>
      </w:r>
    </w:p>
    <w:p w:rsidR="001A222A" w:rsidRDefault="001A222A">
      <w:pPr>
        <w:numPr>
          <w:ilvl w:val="0"/>
          <w:numId w:val="15"/>
        </w:numPr>
        <w:tabs>
          <w:tab w:val="clear" w:pos="1243"/>
          <w:tab w:val="num" w:pos="1560"/>
        </w:tabs>
        <w:spacing w:line="400" w:lineRule="exact"/>
        <w:ind w:left="1560" w:hanging="240"/>
        <w:jc w:val="both"/>
        <w:rPr>
          <w:rFonts w:ascii="標楷體" w:eastAsia="標楷體" w:hAnsi="標楷體"/>
        </w:rPr>
      </w:pPr>
      <w:r>
        <w:rPr>
          <w:rFonts w:ascii="標楷體" w:eastAsia="標楷體" w:hAnsi="標楷體" w:hint="eastAsia"/>
        </w:rPr>
        <w:t>制定各交易循環之作業程序。</w:t>
      </w:r>
    </w:p>
    <w:p w:rsidR="001A222A" w:rsidRDefault="001A222A">
      <w:pPr>
        <w:numPr>
          <w:ilvl w:val="0"/>
          <w:numId w:val="15"/>
        </w:numPr>
        <w:tabs>
          <w:tab w:val="clear" w:pos="1243"/>
          <w:tab w:val="num" w:pos="1560"/>
        </w:tabs>
        <w:spacing w:line="400" w:lineRule="exact"/>
        <w:ind w:left="1560" w:hanging="240"/>
        <w:jc w:val="both"/>
        <w:rPr>
          <w:rFonts w:ascii="標楷體" w:eastAsia="標楷體" w:hAnsi="標楷體"/>
        </w:rPr>
      </w:pPr>
      <w:r>
        <w:rPr>
          <w:rFonts w:ascii="標楷體" w:eastAsia="標楷體" w:hAnsi="標楷體" w:hint="eastAsia"/>
        </w:rPr>
        <w:t>設定各作業程序之控制重點。</w:t>
      </w:r>
    </w:p>
    <w:p w:rsidR="001A222A" w:rsidRDefault="001A222A">
      <w:pPr>
        <w:numPr>
          <w:ilvl w:val="0"/>
          <w:numId w:val="15"/>
        </w:numPr>
        <w:tabs>
          <w:tab w:val="clear" w:pos="1243"/>
          <w:tab w:val="num" w:pos="1560"/>
        </w:tabs>
        <w:spacing w:line="400" w:lineRule="exact"/>
        <w:ind w:left="1560" w:hanging="240"/>
        <w:jc w:val="both"/>
        <w:rPr>
          <w:rFonts w:ascii="標楷體" w:eastAsia="標楷體" w:hAnsi="標楷體"/>
        </w:rPr>
      </w:pPr>
      <w:r>
        <w:rPr>
          <w:rFonts w:ascii="標楷體" w:eastAsia="標楷體" w:hAnsi="標楷體" w:hint="eastAsia"/>
        </w:rPr>
        <w:t>設計使用之表單。</w:t>
      </w:r>
    </w:p>
    <w:p w:rsidR="001A222A" w:rsidRDefault="001A222A">
      <w:pPr>
        <w:numPr>
          <w:ilvl w:val="0"/>
          <w:numId w:val="14"/>
        </w:numPr>
        <w:tabs>
          <w:tab w:val="clear" w:pos="1369"/>
          <w:tab w:val="num" w:pos="1320"/>
        </w:tabs>
        <w:spacing w:line="400" w:lineRule="exact"/>
        <w:ind w:left="1320" w:hanging="600"/>
        <w:jc w:val="both"/>
        <w:rPr>
          <w:rFonts w:ascii="標楷體" w:eastAsia="標楷體" w:hAnsi="標楷體"/>
        </w:rPr>
      </w:pPr>
      <w:r>
        <w:rPr>
          <w:rFonts w:ascii="標楷體" w:eastAsia="標楷體" w:hAnsi="標楷體" w:hint="eastAsia"/>
        </w:rPr>
        <w:t>設計之原則包括：</w:t>
      </w:r>
    </w:p>
    <w:p w:rsidR="001A222A" w:rsidRDefault="001A222A">
      <w:pPr>
        <w:numPr>
          <w:ilvl w:val="0"/>
          <w:numId w:val="16"/>
        </w:numPr>
        <w:tabs>
          <w:tab w:val="clear" w:pos="1243"/>
          <w:tab w:val="num" w:pos="1560"/>
        </w:tabs>
        <w:spacing w:line="400" w:lineRule="exact"/>
        <w:ind w:left="1560" w:hanging="240"/>
        <w:jc w:val="both"/>
        <w:rPr>
          <w:rFonts w:ascii="標楷體" w:eastAsia="標楷體" w:hAnsi="標楷體"/>
        </w:rPr>
      </w:pPr>
      <w:r>
        <w:rPr>
          <w:rFonts w:ascii="標楷體" w:eastAsia="標楷體" w:hAnsi="標楷體" w:hint="eastAsia"/>
        </w:rPr>
        <w:t>依各項業務實際需要規劃作業流程，採分段作業。在每一流程或循環中，設定若干控制點，負責檢查各項作業處理過程中有無錯誤，是否符合規定等，以具體數據或文字表達，並予簽認，以負連帶責任。</w:t>
      </w:r>
    </w:p>
    <w:p w:rsidR="001A222A" w:rsidRDefault="001A222A">
      <w:pPr>
        <w:numPr>
          <w:ilvl w:val="0"/>
          <w:numId w:val="16"/>
        </w:numPr>
        <w:tabs>
          <w:tab w:val="clear" w:pos="1243"/>
          <w:tab w:val="num" w:pos="1560"/>
        </w:tabs>
        <w:spacing w:line="400" w:lineRule="exact"/>
        <w:ind w:left="1560" w:hanging="240"/>
        <w:jc w:val="both"/>
        <w:rPr>
          <w:rFonts w:ascii="標楷體" w:eastAsia="標楷體" w:hAnsi="標楷體"/>
        </w:rPr>
      </w:pPr>
      <w:r>
        <w:rPr>
          <w:rFonts w:ascii="標楷體" w:eastAsia="標楷體" w:hAnsi="標楷體" w:hint="eastAsia"/>
        </w:rPr>
        <w:t>各項業務應視其性質分由不同單位或職掌處理，不由任一個單位或個人全程包辦；如辦理資金出納者，不應兼辦帳務，以達到相互牽制之效果。</w:t>
      </w:r>
    </w:p>
    <w:p w:rsidR="001A222A" w:rsidRDefault="001A222A">
      <w:pPr>
        <w:numPr>
          <w:ilvl w:val="0"/>
          <w:numId w:val="16"/>
        </w:numPr>
        <w:tabs>
          <w:tab w:val="clear" w:pos="1243"/>
          <w:tab w:val="num" w:pos="1560"/>
        </w:tabs>
        <w:spacing w:line="400" w:lineRule="exact"/>
        <w:ind w:left="1560" w:hanging="240"/>
        <w:jc w:val="both"/>
        <w:rPr>
          <w:rFonts w:ascii="標楷體" w:eastAsia="標楷體" w:hAnsi="標楷體" w:hint="eastAsia"/>
        </w:rPr>
      </w:pPr>
      <w:r>
        <w:rPr>
          <w:rFonts w:ascii="標楷體" w:eastAsia="標楷體" w:hAnsi="標楷體" w:hint="eastAsia"/>
        </w:rPr>
        <w:t>應與內部稽核作業配合，各關鍵點之作業內容應力求表格化，俾利稽核、追蹤及考評。</w:t>
      </w:r>
    </w:p>
    <w:p w:rsidR="001A222A" w:rsidRDefault="001A222A">
      <w:pPr>
        <w:numPr>
          <w:ilvl w:val="0"/>
          <w:numId w:val="2"/>
        </w:numPr>
        <w:spacing w:line="400" w:lineRule="exact"/>
        <w:jc w:val="both"/>
        <w:rPr>
          <w:rFonts w:ascii="標楷體" w:eastAsia="標楷體" w:hAnsi="標楷體" w:hint="eastAsia"/>
        </w:rPr>
      </w:pPr>
      <w:r>
        <w:rPr>
          <w:rFonts w:ascii="標楷體" w:eastAsia="標楷體" w:hint="eastAsia"/>
        </w:rPr>
        <w:t>內部控制制度之實施：</w:t>
      </w:r>
      <w:r>
        <w:rPr>
          <w:rFonts w:ascii="標楷體" w:eastAsia="標楷體"/>
        </w:rPr>
        <w:br/>
      </w:r>
      <w:r>
        <w:rPr>
          <w:rFonts w:ascii="標楷體" w:eastAsia="標楷體" w:hAnsi="標楷體" w:hint="eastAsia"/>
        </w:rPr>
        <w:t>內部控制制度之實施為一持續性作業，經由對各項經營與管理作業的不斷檢查，發覺與公司政策、作業程序、既定目標或預期標準乖離之事實，則藉回饋系統反應至適當之管理階層，並針對問題採取必要之修正措施，以確保公司依循規劃方向進行經營，同時藉由內部牽制手段達到勾稽之目的，以防止作業弊端之發生。此責任非屬某特定單位或部門，亦不限於管理階層，而在於全體員工不斷的推動與執行。</w:t>
      </w:r>
    </w:p>
    <w:p w:rsidR="001A222A" w:rsidRDefault="001A222A">
      <w:pPr>
        <w:numPr>
          <w:ilvl w:val="0"/>
          <w:numId w:val="2"/>
        </w:numPr>
        <w:spacing w:line="400" w:lineRule="exact"/>
        <w:jc w:val="both"/>
        <w:rPr>
          <w:rFonts w:ascii="標楷體" w:eastAsia="標楷體" w:hAnsi="標楷體"/>
        </w:rPr>
      </w:pPr>
      <w:r>
        <w:rPr>
          <w:rFonts w:ascii="標楷體" w:eastAsia="標楷體" w:hAnsi="標楷體" w:hint="eastAsia"/>
        </w:rPr>
        <w:t>內部控制制度之建立與實施，至少應包括下列要件：</w:t>
      </w:r>
    </w:p>
    <w:p w:rsidR="001A222A" w:rsidRDefault="001A222A">
      <w:pPr>
        <w:numPr>
          <w:ilvl w:val="0"/>
          <w:numId w:val="17"/>
        </w:numPr>
        <w:tabs>
          <w:tab w:val="clear" w:pos="1369"/>
          <w:tab w:val="num" w:pos="1320"/>
        </w:tabs>
        <w:spacing w:line="400" w:lineRule="exact"/>
        <w:ind w:left="1320" w:hanging="600"/>
        <w:jc w:val="both"/>
        <w:rPr>
          <w:rFonts w:ascii="標楷體" w:eastAsia="標楷體" w:hAnsi="標楷體"/>
        </w:rPr>
      </w:pPr>
      <w:r>
        <w:rPr>
          <w:rFonts w:ascii="標楷體" w:eastAsia="標楷體" w:hAnsi="標楷體" w:hint="eastAsia"/>
        </w:rPr>
        <w:t>管理階層應體認內部控制之重要性，負責制度之建立及修訂，並確保制度持續有效運作。</w:t>
      </w:r>
    </w:p>
    <w:p w:rsidR="001A222A" w:rsidRDefault="001A222A">
      <w:pPr>
        <w:numPr>
          <w:ilvl w:val="0"/>
          <w:numId w:val="17"/>
        </w:numPr>
        <w:tabs>
          <w:tab w:val="clear" w:pos="1369"/>
          <w:tab w:val="num" w:pos="1320"/>
        </w:tabs>
        <w:spacing w:line="400" w:lineRule="exact"/>
        <w:ind w:left="1320" w:hanging="600"/>
        <w:jc w:val="both"/>
        <w:rPr>
          <w:rFonts w:ascii="標楷體" w:eastAsia="標楷體" w:hAnsi="標楷體"/>
        </w:rPr>
      </w:pPr>
      <w:r>
        <w:rPr>
          <w:rFonts w:ascii="標楷體" w:eastAsia="標楷體" w:hAnsi="標楷體" w:hint="eastAsia"/>
        </w:rPr>
        <w:t>建立內部控制制度，應配合業務、財務及管理之需要，涵蓋以交易循環為基礎之控制及非交易循環之管理控制。</w:t>
      </w:r>
    </w:p>
    <w:p w:rsidR="001A222A" w:rsidRDefault="001A222A">
      <w:pPr>
        <w:numPr>
          <w:ilvl w:val="0"/>
          <w:numId w:val="17"/>
        </w:numPr>
        <w:tabs>
          <w:tab w:val="clear" w:pos="1369"/>
          <w:tab w:val="num" w:pos="1320"/>
        </w:tabs>
        <w:spacing w:line="400" w:lineRule="exact"/>
        <w:ind w:left="1320" w:hanging="600"/>
        <w:jc w:val="both"/>
        <w:rPr>
          <w:rFonts w:ascii="標楷體" w:eastAsia="標楷體" w:hAnsi="標楷體"/>
        </w:rPr>
      </w:pPr>
      <w:r>
        <w:rPr>
          <w:rFonts w:ascii="標楷體" w:eastAsia="標楷體" w:hAnsi="標楷體" w:hint="eastAsia"/>
        </w:rPr>
        <w:t>組織規劃應合理化，並明確劃分權責。交易事項之授權、核准、執行及記錄等步驟，應由不同之部門或人員負責，資產之記錄與保管等職能宜予分立，俾相互驗證其正確性。</w:t>
      </w:r>
    </w:p>
    <w:p w:rsidR="001A222A" w:rsidRDefault="001A222A">
      <w:pPr>
        <w:numPr>
          <w:ilvl w:val="0"/>
          <w:numId w:val="17"/>
        </w:numPr>
        <w:tabs>
          <w:tab w:val="clear" w:pos="1369"/>
          <w:tab w:val="num" w:pos="1320"/>
        </w:tabs>
        <w:spacing w:line="400" w:lineRule="exact"/>
        <w:ind w:left="1320" w:hanging="600"/>
        <w:jc w:val="both"/>
        <w:rPr>
          <w:rFonts w:ascii="標楷體" w:eastAsia="標楷體" w:hAnsi="標楷體"/>
        </w:rPr>
      </w:pPr>
      <w:r>
        <w:rPr>
          <w:rFonts w:ascii="標楷體" w:eastAsia="標楷體" w:hAnsi="標楷體" w:hint="eastAsia"/>
        </w:rPr>
        <w:lastRenderedPageBreak/>
        <w:t>建立健全會計制度，俾正確記錄交易事項，適時提供有效會計資訊。</w:t>
      </w:r>
    </w:p>
    <w:p w:rsidR="001A222A" w:rsidRDefault="001A222A">
      <w:pPr>
        <w:numPr>
          <w:ilvl w:val="0"/>
          <w:numId w:val="17"/>
        </w:numPr>
        <w:tabs>
          <w:tab w:val="clear" w:pos="1369"/>
          <w:tab w:val="num" w:pos="1320"/>
        </w:tabs>
        <w:spacing w:line="400" w:lineRule="exact"/>
        <w:ind w:left="1320" w:hanging="600"/>
        <w:jc w:val="both"/>
        <w:rPr>
          <w:rFonts w:ascii="標楷體" w:eastAsia="標楷體" w:hAnsi="標楷體"/>
        </w:rPr>
      </w:pPr>
      <w:r>
        <w:rPr>
          <w:rFonts w:ascii="標楷體" w:eastAsia="標楷體" w:hAnsi="標楷體" w:hint="eastAsia"/>
        </w:rPr>
        <w:t>建立員工甄選、任用、升遷、培訓等人事制度，俾以適當之工作人員提高內部控制之效能。</w:t>
      </w:r>
    </w:p>
    <w:p w:rsidR="001A222A" w:rsidRDefault="001A222A">
      <w:pPr>
        <w:numPr>
          <w:ilvl w:val="0"/>
          <w:numId w:val="17"/>
        </w:numPr>
        <w:tabs>
          <w:tab w:val="clear" w:pos="1369"/>
          <w:tab w:val="num" w:pos="1320"/>
        </w:tabs>
        <w:spacing w:line="400" w:lineRule="exact"/>
        <w:ind w:left="1320" w:hanging="600"/>
        <w:jc w:val="both"/>
        <w:rPr>
          <w:rFonts w:ascii="標楷體" w:eastAsia="標楷體" w:hAnsi="標楷體" w:hint="eastAsia"/>
        </w:rPr>
      </w:pPr>
      <w:r>
        <w:rPr>
          <w:rFonts w:ascii="標楷體" w:eastAsia="標楷體" w:hAnsi="標楷體" w:hint="eastAsia"/>
        </w:rPr>
        <w:t>設置內部稽核人員，協助管理階層調查、評估內部控制制度，適時建議改進，以求有效持續實施。</w:t>
      </w:r>
    </w:p>
    <w:p w:rsidR="00880C76" w:rsidRDefault="00880C76" w:rsidP="00880C76">
      <w:pPr>
        <w:spacing w:line="400" w:lineRule="exact"/>
        <w:ind w:left="240"/>
        <w:jc w:val="both"/>
        <w:rPr>
          <w:rFonts w:ascii="標楷體" w:eastAsia="標楷體" w:hAnsi="標楷體" w:hint="eastAsia"/>
        </w:rPr>
      </w:pPr>
    </w:p>
    <w:p w:rsidR="001A222A" w:rsidRDefault="001A222A">
      <w:pPr>
        <w:numPr>
          <w:ilvl w:val="0"/>
          <w:numId w:val="2"/>
        </w:numPr>
        <w:spacing w:line="400" w:lineRule="exact"/>
        <w:jc w:val="both"/>
        <w:rPr>
          <w:rFonts w:ascii="標楷體" w:eastAsia="標楷體" w:hAnsi="標楷體"/>
        </w:rPr>
      </w:pPr>
      <w:r>
        <w:rPr>
          <w:rFonts w:ascii="標楷體" w:eastAsia="標楷體" w:hAnsi="標楷體" w:hint="eastAsia"/>
        </w:rPr>
        <w:t>本標準規範之使用：</w:t>
      </w:r>
    </w:p>
    <w:p w:rsidR="001A222A" w:rsidRDefault="001A222A">
      <w:pPr>
        <w:numPr>
          <w:ilvl w:val="0"/>
          <w:numId w:val="19"/>
        </w:numPr>
        <w:tabs>
          <w:tab w:val="clear" w:pos="1369"/>
          <w:tab w:val="num" w:pos="1320"/>
        </w:tabs>
        <w:spacing w:line="400" w:lineRule="exact"/>
        <w:ind w:left="1320" w:hanging="600"/>
        <w:jc w:val="both"/>
        <w:rPr>
          <w:rFonts w:ascii="標楷體" w:eastAsia="標楷體" w:hAnsi="標楷體"/>
        </w:rPr>
      </w:pPr>
      <w:r>
        <w:rPr>
          <w:rFonts w:ascii="標楷體" w:eastAsia="標楷體" w:hAnsi="標楷體" w:hint="eastAsia"/>
        </w:rPr>
        <w:t>內部控制制度之設計，須考量公司使命、經營環境、本身優劣條件等因素，並針對公司之特性而釐定。本標準規範係以假想情況而設計，以追求合理化為前提，參酌學理實務與部分公開發行公司之情況編製而成。雖在編製時力求週延詳盡，但僅能顧及一般情況，無法涵蓋部分公司之特殊情況。其主要目的在提供形式上的範例，供作各公司編製內部控制制度時參考；至實質內容，由於各期貨信託事業規模大小、組織架構、管理方式不一，故本標準規範僅就該制度之控制重點作原則性規範，對各相關之管理控制制度、辦法、要點，如員工管理辦法、印鑑使用管理辦法或預算管理辦法等，則由公司就其授權、核准、執行程序及相關控制表單自行訂立書面化制度。</w:t>
      </w:r>
    </w:p>
    <w:p w:rsidR="001A222A" w:rsidRDefault="001A222A">
      <w:pPr>
        <w:numPr>
          <w:ilvl w:val="0"/>
          <w:numId w:val="19"/>
        </w:numPr>
        <w:tabs>
          <w:tab w:val="clear" w:pos="1369"/>
          <w:tab w:val="num" w:pos="1320"/>
        </w:tabs>
        <w:spacing w:line="400" w:lineRule="exact"/>
        <w:ind w:left="1320" w:hanging="600"/>
        <w:jc w:val="both"/>
        <w:rPr>
          <w:rFonts w:ascii="標楷體" w:eastAsia="標楷體" w:hAnsi="標楷體" w:hint="eastAsia"/>
        </w:rPr>
      </w:pPr>
      <w:r>
        <w:rPr>
          <w:rFonts w:ascii="標楷體" w:eastAsia="標楷體" w:hAnsi="標楷體" w:hint="eastAsia"/>
        </w:rPr>
        <w:t>各期貨信託事業自訂之內部控制制度，作業程序及控制重點至少應包括本標準規範所訂內容，並得視公司本身經營狀況自行增列控制重點，惟自行增列部分，不得違反相關法令規章之規定。爾後如有法令增、修訂或公司內、外在情況變動等情事，應即配合檢討或依</w:t>
      </w:r>
      <w:r>
        <w:rPr>
          <w:rFonts w:ascii="標楷體" w:eastAsia="標楷體" w:hAnsi="標楷體" w:hint="eastAsia"/>
          <w:bCs/>
        </w:rPr>
        <w:t>處理準則</w:t>
      </w:r>
      <w:r>
        <w:rPr>
          <w:rFonts w:ascii="標楷體" w:eastAsia="標楷體" w:hAnsi="標楷體" w:hint="eastAsia"/>
        </w:rPr>
        <w:t>規定自行評估、修正內部控制制度內容，</w:t>
      </w:r>
      <w:r>
        <w:rPr>
          <w:rFonts w:ascii="標楷體" w:eastAsia="標楷體" w:hAnsi="標楷體" w:hint="eastAsia"/>
          <w:bCs/>
        </w:rPr>
        <w:t>並將內部控制制度之訂定或修正事項及董事會通過之議事錄等資料妥善保存，並依主管機關或本公會通知，備供備查</w:t>
      </w:r>
      <w:r>
        <w:rPr>
          <w:rFonts w:ascii="標楷體" w:eastAsia="標楷體" w:hAnsi="標楷體" w:hint="eastAsia"/>
        </w:rPr>
        <w:t>，以確保制度之完整性及有效性。</w:t>
      </w:r>
    </w:p>
    <w:p w:rsidR="001A222A" w:rsidRDefault="001A222A">
      <w:pPr>
        <w:numPr>
          <w:ilvl w:val="0"/>
          <w:numId w:val="19"/>
        </w:numPr>
        <w:tabs>
          <w:tab w:val="clear" w:pos="1369"/>
          <w:tab w:val="num" w:pos="1320"/>
        </w:tabs>
        <w:spacing w:line="400" w:lineRule="exact"/>
        <w:ind w:left="1320" w:hanging="600"/>
        <w:jc w:val="both"/>
        <w:rPr>
          <w:rFonts w:ascii="標楷體" w:eastAsia="標楷體" w:hAnsi="標楷體"/>
        </w:rPr>
      </w:pPr>
      <w:r>
        <w:rPr>
          <w:rFonts w:ascii="標楷體" w:eastAsia="標楷體" w:hAnsi="標楷體" w:hint="eastAsia"/>
        </w:rPr>
        <w:t>為求文字精簡，本標準規範中各單位名稱簡稱如下：</w:t>
      </w:r>
    </w:p>
    <w:p w:rsidR="001A222A" w:rsidRDefault="001A222A">
      <w:pPr>
        <w:numPr>
          <w:ilvl w:val="1"/>
          <w:numId w:val="19"/>
        </w:numPr>
        <w:tabs>
          <w:tab w:val="clear" w:pos="1085"/>
          <w:tab w:val="num" w:pos="1560"/>
        </w:tabs>
        <w:spacing w:line="400" w:lineRule="exact"/>
        <w:ind w:left="1560" w:hanging="240"/>
        <w:jc w:val="both"/>
        <w:rPr>
          <w:rFonts w:ascii="標楷體" w:eastAsia="標楷體" w:hAnsi="標楷體"/>
        </w:rPr>
      </w:pPr>
      <w:r>
        <w:rPr>
          <w:rFonts w:ascii="標楷體" w:eastAsia="標楷體" w:hAnsi="標楷體" w:hint="eastAsia"/>
          <w:bCs/>
        </w:rPr>
        <w:t>金融監督管理委員會：主管機關</w:t>
      </w:r>
    </w:p>
    <w:p w:rsidR="001A222A" w:rsidRDefault="001A222A">
      <w:pPr>
        <w:numPr>
          <w:ilvl w:val="1"/>
          <w:numId w:val="19"/>
        </w:numPr>
        <w:tabs>
          <w:tab w:val="clear" w:pos="1085"/>
          <w:tab w:val="num" w:pos="1560"/>
        </w:tabs>
        <w:spacing w:line="400" w:lineRule="exact"/>
        <w:ind w:left="1560" w:hanging="240"/>
        <w:jc w:val="both"/>
        <w:rPr>
          <w:rFonts w:ascii="標楷體" w:eastAsia="標楷體" w:hAnsi="標楷體"/>
          <w:bCs/>
        </w:rPr>
      </w:pPr>
      <w:r>
        <w:rPr>
          <w:rFonts w:ascii="標楷體" w:eastAsia="標楷體" w:hAnsi="標楷體" w:hint="eastAsia"/>
        </w:rPr>
        <w:t>臺灣期貨交易所股份有限</w:t>
      </w:r>
      <w:r>
        <w:rPr>
          <w:rFonts w:ascii="標楷體" w:eastAsia="標楷體" w:hAnsi="標楷體" w:hint="eastAsia"/>
          <w:bCs/>
        </w:rPr>
        <w:t>份公司：期交所</w:t>
      </w:r>
    </w:p>
    <w:p w:rsidR="001A222A" w:rsidRDefault="001A222A">
      <w:pPr>
        <w:numPr>
          <w:ilvl w:val="1"/>
          <w:numId w:val="19"/>
        </w:numPr>
        <w:tabs>
          <w:tab w:val="clear" w:pos="1085"/>
          <w:tab w:val="num" w:pos="1560"/>
        </w:tabs>
        <w:spacing w:line="400" w:lineRule="exact"/>
        <w:ind w:left="1560" w:hanging="240"/>
        <w:jc w:val="both"/>
        <w:rPr>
          <w:rFonts w:ascii="標楷體" w:eastAsia="標楷體" w:hAnsi="標楷體"/>
          <w:bCs/>
        </w:rPr>
      </w:pPr>
      <w:r>
        <w:rPr>
          <w:rFonts w:ascii="標楷體" w:eastAsia="標楷體" w:hAnsi="標楷體" w:hint="eastAsia"/>
          <w:bCs/>
        </w:rPr>
        <w:t>臺灣證券交易所股份有限份公司：證交所</w:t>
      </w:r>
    </w:p>
    <w:p w:rsidR="001A222A" w:rsidRDefault="001A222A">
      <w:pPr>
        <w:numPr>
          <w:ilvl w:val="1"/>
          <w:numId w:val="19"/>
        </w:numPr>
        <w:tabs>
          <w:tab w:val="clear" w:pos="1085"/>
          <w:tab w:val="num" w:pos="1560"/>
        </w:tabs>
        <w:spacing w:line="400" w:lineRule="exact"/>
        <w:ind w:left="1560" w:hanging="240"/>
        <w:jc w:val="both"/>
        <w:rPr>
          <w:rFonts w:ascii="標楷體" w:eastAsia="標楷體" w:hAnsi="標楷體"/>
          <w:bCs/>
        </w:rPr>
      </w:pPr>
      <w:r>
        <w:rPr>
          <w:rFonts w:ascii="標楷體" w:eastAsia="標楷體" w:hAnsi="標楷體" w:hint="eastAsia"/>
          <w:bCs/>
        </w:rPr>
        <w:t>中華民國期貨業商業同業公會：期貨公會</w:t>
      </w:r>
    </w:p>
    <w:p w:rsidR="001A222A" w:rsidRDefault="001A222A">
      <w:pPr>
        <w:numPr>
          <w:ilvl w:val="1"/>
          <w:numId w:val="19"/>
        </w:numPr>
        <w:tabs>
          <w:tab w:val="clear" w:pos="1085"/>
          <w:tab w:val="num" w:pos="1560"/>
        </w:tabs>
        <w:spacing w:line="400" w:lineRule="exact"/>
        <w:ind w:left="1560" w:hanging="240"/>
        <w:jc w:val="both"/>
        <w:rPr>
          <w:rFonts w:ascii="標楷體" w:eastAsia="標楷體" w:hAnsi="標楷體"/>
        </w:rPr>
      </w:pPr>
      <w:r>
        <w:rPr>
          <w:rFonts w:ascii="標楷體" w:eastAsia="標楷體" w:hAnsi="標楷體" w:hint="eastAsia"/>
          <w:bCs/>
        </w:rPr>
        <w:t>財團法人證券暨期貨</w:t>
      </w:r>
      <w:r>
        <w:rPr>
          <w:rFonts w:ascii="標楷體" w:eastAsia="標楷體" w:hAnsi="標楷體" w:hint="eastAsia"/>
        </w:rPr>
        <w:t>市場發展基金會：證基會</w:t>
      </w:r>
    </w:p>
    <w:sectPr w:rsidR="001A222A" w:rsidSect="004A0739">
      <w:headerReference w:type="default" r:id="rId9"/>
      <w:footerReference w:type="even" r:id="rId10"/>
      <w:footerReference w:type="default" r:id="rId11"/>
      <w:pgSz w:w="16840" w:h="11907" w:orient="landscape" w:code="9"/>
      <w:pgMar w:top="1418" w:right="1701" w:bottom="1134" w:left="1701" w:header="851" w:footer="680"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897" w:rsidRDefault="00EB3897">
      <w:r>
        <w:separator/>
      </w:r>
    </w:p>
  </w:endnote>
  <w:endnote w:type="continuationSeparator" w:id="0">
    <w:p w:rsidR="00EB3897" w:rsidRDefault="00EB3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2A" w:rsidRDefault="001A222A">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7</w:t>
    </w:r>
    <w:r>
      <w:rPr>
        <w:rStyle w:val="a6"/>
      </w:rPr>
      <w:fldChar w:fldCharType="end"/>
    </w:r>
  </w:p>
  <w:p w:rsidR="001A222A" w:rsidRDefault="001A22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2A" w:rsidRDefault="00F61576">
    <w:pPr>
      <w:pStyle w:val="a5"/>
      <w:framePr w:w="412" w:wrap="around" w:vAnchor="text" w:hAnchor="margin" w:xAlign="center" w:y="-6"/>
      <w:jc w:val="center"/>
      <w:rPr>
        <w:rStyle w:val="a6"/>
        <w:rFonts w:ascii="Arial" w:hAnsi="Arial" w:cs="Arial"/>
      </w:rPr>
    </w:pPr>
    <w:r>
      <w:rPr>
        <w:rStyle w:val="a6"/>
        <w:rFonts w:ascii="Arial" w:hAnsi="Arial" w:cs="Arial" w:hint="eastAsia"/>
      </w:rPr>
      <w:t>0-</w:t>
    </w:r>
    <w:r w:rsidR="001A222A">
      <w:rPr>
        <w:rStyle w:val="a6"/>
        <w:rFonts w:ascii="Arial" w:hAnsi="Arial" w:cs="Arial"/>
      </w:rPr>
      <w:fldChar w:fldCharType="begin"/>
    </w:r>
    <w:r w:rsidR="001A222A">
      <w:rPr>
        <w:rStyle w:val="a6"/>
        <w:rFonts w:ascii="Arial" w:hAnsi="Arial" w:cs="Arial"/>
      </w:rPr>
      <w:instrText xml:space="preserve">PAGE  </w:instrText>
    </w:r>
    <w:r w:rsidR="001A222A">
      <w:rPr>
        <w:rStyle w:val="a6"/>
        <w:rFonts w:ascii="Arial" w:hAnsi="Arial" w:cs="Arial"/>
      </w:rPr>
      <w:fldChar w:fldCharType="separate"/>
    </w:r>
    <w:r w:rsidR="00393D0D">
      <w:rPr>
        <w:rStyle w:val="a6"/>
        <w:rFonts w:ascii="Arial" w:hAnsi="Arial" w:cs="Arial"/>
        <w:noProof/>
      </w:rPr>
      <w:t>1</w:t>
    </w:r>
    <w:r w:rsidR="001A222A">
      <w:rPr>
        <w:rStyle w:val="a6"/>
        <w:rFonts w:ascii="Arial" w:hAnsi="Arial" w:cs="Arial"/>
      </w:rPr>
      <w:fldChar w:fldCharType="end"/>
    </w:r>
  </w:p>
  <w:p w:rsidR="001A222A" w:rsidRDefault="00002F32" w:rsidP="00002F32">
    <w:pPr>
      <w:pStyle w:val="a5"/>
      <w:tabs>
        <w:tab w:val="clear" w:pos="8306"/>
        <w:tab w:val="right" w:pos="7560"/>
      </w:tabs>
      <w:rPr>
        <w:rFonts w:ascii="Arial" w:eastAsia="標楷體" w:hAnsi="Arial" w:cs="Arial" w:hint="eastAsia"/>
        <w:sz w:val="18"/>
      </w:rPr>
    </w:pPr>
    <w:r>
      <w:rPr>
        <w:rFonts w:ascii="Arial" w:eastAsia="標楷體" w:hAnsi="Arial" w:cs="Arial" w:hint="eastAsia"/>
        <w:sz w:val="18"/>
      </w:rPr>
      <w:t>10</w:t>
    </w:r>
    <w:r w:rsidR="002B6FD8">
      <w:rPr>
        <w:rFonts w:ascii="Arial" w:eastAsia="標楷體" w:hAnsi="Arial" w:cs="Arial" w:hint="eastAsia"/>
        <w:sz w:val="18"/>
      </w:rPr>
      <w:t>7</w:t>
    </w:r>
    <w:r>
      <w:rPr>
        <w:rFonts w:ascii="Arial" w:eastAsia="標楷體" w:cs="Arial"/>
        <w:sz w:val="18"/>
      </w:rPr>
      <w:t>年</w:t>
    </w:r>
    <w:r w:rsidR="00D8214D">
      <w:rPr>
        <w:rFonts w:ascii="Arial" w:eastAsia="標楷體" w:cs="Arial" w:hint="eastAsia"/>
        <w:sz w:val="18"/>
      </w:rPr>
      <w:t>1</w:t>
    </w:r>
    <w:r w:rsidR="00A822C2">
      <w:rPr>
        <w:rFonts w:ascii="Arial" w:eastAsia="標楷體" w:cs="Arial" w:hint="eastAsia"/>
        <w:sz w:val="18"/>
      </w:rPr>
      <w:t>2</w:t>
    </w:r>
    <w:r>
      <w:rPr>
        <w:rFonts w:ascii="Arial" w:eastAsia="標楷體" w:cs="Arial"/>
        <w:sz w:val="18"/>
      </w:rPr>
      <w:t>月</w:t>
    </w:r>
    <w:r>
      <w:rPr>
        <w:rFonts w:ascii="Arial" w:eastAsia="標楷體" w:cs="Arial" w:hint="eastAsia"/>
        <w:sz w:val="18"/>
      </w:rPr>
      <w:t>修正</w:t>
    </w:r>
    <w:r>
      <w:rPr>
        <w:rFonts w:ascii="Arial" w:eastAsia="標楷體" w:hAnsi="Arial" w:cs="Arial"/>
        <w:sz w:val="18"/>
      </w:rPr>
      <w:t xml:space="preserve"> </w:t>
    </w:r>
    <w:r>
      <w:rPr>
        <w:rFonts w:ascii="Arial" w:eastAsia="標楷體" w:hAnsi="Arial" w:cs="Arial" w:hint="eastAsia"/>
        <w:sz w:val="18"/>
      </w:rPr>
      <w:t xml:space="preserve">                                                                                                          </w:t>
    </w:r>
    <w:r w:rsidRPr="00341962">
      <w:rPr>
        <w:rFonts w:ascii="標楷體" w:eastAsia="標楷體" w:hAnsi="標楷體" w:hint="eastAsia"/>
        <w:sz w:val="18"/>
        <w:szCs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897" w:rsidRDefault="00EB3897">
      <w:r>
        <w:separator/>
      </w:r>
    </w:p>
  </w:footnote>
  <w:footnote w:type="continuationSeparator" w:id="0">
    <w:p w:rsidR="00EB3897" w:rsidRDefault="00EB38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2A" w:rsidRDefault="001A222A">
    <w:pPr>
      <w:pStyle w:val="a4"/>
      <w:spacing w:line="300" w:lineRule="atLeast"/>
      <w:rPr>
        <w:rFonts w:eastAsia="標楷體" w:hint="eastAsia"/>
        <w:sz w:val="18"/>
      </w:rPr>
    </w:pPr>
    <w:r>
      <w:rPr>
        <w:rFonts w:eastAsia="標楷體" w:hint="eastAsia"/>
        <w:sz w:val="18"/>
      </w:rPr>
      <w:t>期貨信託事業內部控制制度</w:t>
    </w:r>
  </w:p>
  <w:p w:rsidR="001A222A" w:rsidRDefault="001A222A">
    <w:pPr>
      <w:pStyle w:val="a4"/>
      <w:spacing w:line="300" w:lineRule="atLeast"/>
      <w:rPr>
        <w:rFonts w:eastAsia="標楷體" w:hint="eastAsia"/>
        <w:sz w:val="18"/>
      </w:rPr>
    </w:pPr>
    <w:r>
      <w:rPr>
        <w:rFonts w:eastAsia="標楷體" w:hint="eastAsia"/>
        <w:sz w:val="18"/>
      </w:rPr>
      <w:t>總則</w:t>
    </w:r>
  </w:p>
  <w:p w:rsidR="001A222A" w:rsidRDefault="001A222A">
    <w:pPr>
      <w:pStyle w:val="a4"/>
      <w:spacing w:line="300" w:lineRule="atLeast"/>
      <w:rPr>
        <w:rFonts w:eastAsia="標楷體" w:hint="eastAsia"/>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4620F"/>
    <w:multiLevelType w:val="multilevel"/>
    <w:tmpl w:val="9B7A1A4C"/>
    <w:lvl w:ilvl="0">
      <w:start w:val="1"/>
      <w:numFmt w:val="taiwaneseCountingThousand"/>
      <w:lvlText w:val="(%1)."/>
      <w:lvlJc w:val="left"/>
      <w:pPr>
        <w:tabs>
          <w:tab w:val="num" w:pos="1369"/>
        </w:tabs>
        <w:ind w:left="1369" w:hanging="567"/>
      </w:pPr>
      <w:rPr>
        <w:rFonts w:ascii="Arial" w:eastAsia="標楷體" w:hAnsi="Arial" w:hint="default"/>
        <w:b w:val="0"/>
        <w:i w:val="0"/>
      </w:rPr>
    </w:lvl>
    <w:lvl w:ilvl="1">
      <w:start w:val="1"/>
      <w:numFmt w:val="ideographTraditional"/>
      <w:lvlText w:val="%2、"/>
      <w:lvlJc w:val="left"/>
      <w:pPr>
        <w:tabs>
          <w:tab w:val="num" w:pos="1282"/>
        </w:tabs>
        <w:ind w:left="1282" w:hanging="480"/>
      </w:pPr>
    </w:lvl>
    <w:lvl w:ilvl="2">
      <w:start w:val="1"/>
      <w:numFmt w:val="lowerRoman"/>
      <w:lvlText w:val="%3."/>
      <w:lvlJc w:val="right"/>
      <w:pPr>
        <w:tabs>
          <w:tab w:val="num" w:pos="1762"/>
        </w:tabs>
        <w:ind w:left="1762" w:hanging="480"/>
      </w:pPr>
    </w:lvl>
    <w:lvl w:ilvl="3">
      <w:start w:val="1"/>
      <w:numFmt w:val="decimal"/>
      <w:lvlText w:val="%4."/>
      <w:lvlJc w:val="left"/>
      <w:pPr>
        <w:tabs>
          <w:tab w:val="num" w:pos="2242"/>
        </w:tabs>
        <w:ind w:left="2242" w:hanging="480"/>
      </w:pPr>
    </w:lvl>
    <w:lvl w:ilvl="4">
      <w:start w:val="1"/>
      <w:numFmt w:val="ideographTraditional"/>
      <w:lvlText w:val="%5、"/>
      <w:lvlJc w:val="left"/>
      <w:pPr>
        <w:tabs>
          <w:tab w:val="num" w:pos="2722"/>
        </w:tabs>
        <w:ind w:left="2722" w:hanging="480"/>
      </w:pPr>
    </w:lvl>
    <w:lvl w:ilvl="5">
      <w:start w:val="1"/>
      <w:numFmt w:val="lowerRoman"/>
      <w:lvlText w:val="%6."/>
      <w:lvlJc w:val="right"/>
      <w:pPr>
        <w:tabs>
          <w:tab w:val="num" w:pos="3202"/>
        </w:tabs>
        <w:ind w:left="3202" w:hanging="480"/>
      </w:pPr>
    </w:lvl>
    <w:lvl w:ilvl="6">
      <w:start w:val="1"/>
      <w:numFmt w:val="decimal"/>
      <w:lvlText w:val="%7."/>
      <w:lvlJc w:val="left"/>
      <w:pPr>
        <w:tabs>
          <w:tab w:val="num" w:pos="3682"/>
        </w:tabs>
        <w:ind w:left="3682" w:hanging="480"/>
      </w:pPr>
    </w:lvl>
    <w:lvl w:ilvl="7">
      <w:start w:val="1"/>
      <w:numFmt w:val="ideographTraditional"/>
      <w:lvlText w:val="%8、"/>
      <w:lvlJc w:val="left"/>
      <w:pPr>
        <w:tabs>
          <w:tab w:val="num" w:pos="4162"/>
        </w:tabs>
        <w:ind w:left="4162" w:hanging="480"/>
      </w:pPr>
    </w:lvl>
    <w:lvl w:ilvl="8">
      <w:start w:val="1"/>
      <w:numFmt w:val="lowerRoman"/>
      <w:lvlText w:val="%9."/>
      <w:lvlJc w:val="right"/>
      <w:pPr>
        <w:tabs>
          <w:tab w:val="num" w:pos="4642"/>
        </w:tabs>
        <w:ind w:left="4642" w:hanging="480"/>
      </w:pPr>
    </w:lvl>
  </w:abstractNum>
  <w:abstractNum w:abstractNumId="1">
    <w:nsid w:val="160A2ED8"/>
    <w:multiLevelType w:val="multilevel"/>
    <w:tmpl w:val="D90C1CD8"/>
    <w:lvl w:ilvl="0">
      <w:start w:val="1"/>
      <w:numFmt w:val="taiwaneseCountingThousand"/>
      <w:suff w:val="nothing"/>
      <w:lvlText w:val="%1、"/>
      <w:lvlJc w:val="left"/>
      <w:pPr>
        <w:ind w:left="765" w:hanging="652"/>
      </w:pPr>
      <w:rPr>
        <w:rFonts w:hint="eastAsia"/>
      </w:rPr>
    </w:lvl>
    <w:lvl w:ilvl="1">
      <w:start w:val="1"/>
      <w:numFmt w:val="taiwaneseCountingThousand"/>
      <w:suff w:val="nothing"/>
      <w:lvlText w:val="(%2)"/>
      <w:lvlJc w:val="left"/>
      <w:pPr>
        <w:ind w:left="1474" w:hanging="794"/>
      </w:pPr>
      <w:rPr>
        <w:rFonts w:hint="eastAsia"/>
      </w:rPr>
    </w:lvl>
    <w:lvl w:ilvl="2">
      <w:start w:val="1"/>
      <w:numFmt w:val="decimalFullWidth"/>
      <w:suff w:val="nothing"/>
      <w:lvlText w:val="%3"/>
      <w:lvlJc w:val="left"/>
      <w:pPr>
        <w:ind w:left="1701" w:hanging="283"/>
      </w:pPr>
      <w:rPr>
        <w:rFonts w:hint="eastAsia"/>
      </w:rPr>
    </w:lvl>
    <w:lvl w:ilvl="3">
      <w:start w:val="1"/>
      <w:numFmt w:val="decimalFullWidth"/>
      <w:suff w:val="nothing"/>
      <w:lvlText w:val="(%4)"/>
      <w:lvlJc w:val="left"/>
      <w:pPr>
        <w:ind w:left="2495" w:hanging="794"/>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
    <w:nsid w:val="18A10381"/>
    <w:multiLevelType w:val="multilevel"/>
    <w:tmpl w:val="9C06053C"/>
    <w:lvl w:ilvl="0">
      <w:start w:val="1"/>
      <w:numFmt w:val="taiwaneseCountingThousand"/>
      <w:lvlText w:val="%1、"/>
      <w:lvlJc w:val="left"/>
      <w:pPr>
        <w:tabs>
          <w:tab w:val="num" w:pos="680"/>
        </w:tabs>
        <w:ind w:left="680" w:hanging="567"/>
      </w:pPr>
      <w:rPr>
        <w:rFonts w:eastAsia="標楷體" w:hint="eastAsia"/>
        <w:b w:val="0"/>
        <w:i w:val="0"/>
      </w:rPr>
    </w:lvl>
    <w:lvl w:ilvl="1">
      <w:start w:val="1"/>
      <w:numFmt w:val="taiwaneseCountingThousand"/>
      <w:suff w:val="nothing"/>
      <w:lvlText w:val="(%2)"/>
      <w:lvlJc w:val="left"/>
      <w:pPr>
        <w:ind w:left="1474" w:hanging="794"/>
      </w:pPr>
      <w:rPr>
        <w:rFonts w:hint="eastAsia"/>
      </w:rPr>
    </w:lvl>
    <w:lvl w:ilvl="2">
      <w:start w:val="1"/>
      <w:numFmt w:val="decimalFullWidth"/>
      <w:suff w:val="nothing"/>
      <w:lvlText w:val="%3"/>
      <w:lvlJc w:val="left"/>
      <w:pPr>
        <w:ind w:left="1701" w:hanging="283"/>
      </w:pPr>
      <w:rPr>
        <w:rFonts w:hint="eastAsia"/>
      </w:rPr>
    </w:lvl>
    <w:lvl w:ilvl="3">
      <w:start w:val="1"/>
      <w:numFmt w:val="decimalFullWidth"/>
      <w:suff w:val="nothing"/>
      <w:lvlText w:val="(%4)"/>
      <w:lvlJc w:val="left"/>
      <w:pPr>
        <w:ind w:left="2495" w:hanging="794"/>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nsid w:val="18DA14E3"/>
    <w:multiLevelType w:val="hybridMultilevel"/>
    <w:tmpl w:val="08282872"/>
    <w:lvl w:ilvl="0" w:tplc="D0A834C2">
      <w:start w:val="1"/>
      <w:numFmt w:val="taiwaneseCountingThousand"/>
      <w:lvlText w:val="(%1)."/>
      <w:lvlJc w:val="left"/>
      <w:pPr>
        <w:tabs>
          <w:tab w:val="num" w:pos="1047"/>
        </w:tabs>
        <w:ind w:left="1047" w:hanging="567"/>
      </w:pPr>
      <w:rPr>
        <w:rFonts w:ascii="Arial" w:eastAsia="標楷體" w:hAnsi="Arial" w:hint="default"/>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C8E32C2"/>
    <w:multiLevelType w:val="multilevel"/>
    <w:tmpl w:val="C9705F24"/>
    <w:lvl w:ilvl="0">
      <w:start w:val="1"/>
      <w:numFmt w:val="taiwaneseCountingThousand"/>
      <w:lvlText w:val="(%1)."/>
      <w:lvlJc w:val="left"/>
      <w:pPr>
        <w:tabs>
          <w:tab w:val="num" w:pos="1369"/>
        </w:tabs>
        <w:ind w:left="1369" w:hanging="567"/>
      </w:pPr>
      <w:rPr>
        <w:rFonts w:ascii="Arial" w:eastAsia="標楷體" w:hAnsi="Arial" w:hint="default"/>
        <w:b w:val="0"/>
        <w:i w:val="0"/>
      </w:rPr>
    </w:lvl>
    <w:lvl w:ilvl="1">
      <w:start w:val="1"/>
      <w:numFmt w:val="ideographTraditional"/>
      <w:lvlText w:val="%2、"/>
      <w:lvlJc w:val="left"/>
      <w:pPr>
        <w:tabs>
          <w:tab w:val="num" w:pos="1282"/>
        </w:tabs>
        <w:ind w:left="1282" w:hanging="480"/>
      </w:pPr>
    </w:lvl>
    <w:lvl w:ilvl="2">
      <w:start w:val="1"/>
      <w:numFmt w:val="lowerRoman"/>
      <w:lvlText w:val="%3."/>
      <w:lvlJc w:val="right"/>
      <w:pPr>
        <w:tabs>
          <w:tab w:val="num" w:pos="1762"/>
        </w:tabs>
        <w:ind w:left="1762" w:hanging="480"/>
      </w:pPr>
    </w:lvl>
    <w:lvl w:ilvl="3">
      <w:start w:val="1"/>
      <w:numFmt w:val="decimal"/>
      <w:lvlText w:val="%4."/>
      <w:lvlJc w:val="left"/>
      <w:pPr>
        <w:tabs>
          <w:tab w:val="num" w:pos="2242"/>
        </w:tabs>
        <w:ind w:left="2242" w:hanging="480"/>
      </w:pPr>
    </w:lvl>
    <w:lvl w:ilvl="4">
      <w:start w:val="1"/>
      <w:numFmt w:val="ideographTraditional"/>
      <w:lvlText w:val="%5、"/>
      <w:lvlJc w:val="left"/>
      <w:pPr>
        <w:tabs>
          <w:tab w:val="num" w:pos="2722"/>
        </w:tabs>
        <w:ind w:left="2722" w:hanging="480"/>
      </w:pPr>
    </w:lvl>
    <w:lvl w:ilvl="5">
      <w:start w:val="1"/>
      <w:numFmt w:val="lowerRoman"/>
      <w:lvlText w:val="%6."/>
      <w:lvlJc w:val="right"/>
      <w:pPr>
        <w:tabs>
          <w:tab w:val="num" w:pos="3202"/>
        </w:tabs>
        <w:ind w:left="3202" w:hanging="480"/>
      </w:pPr>
    </w:lvl>
    <w:lvl w:ilvl="6">
      <w:start w:val="1"/>
      <w:numFmt w:val="decimal"/>
      <w:lvlText w:val="%7."/>
      <w:lvlJc w:val="left"/>
      <w:pPr>
        <w:tabs>
          <w:tab w:val="num" w:pos="3682"/>
        </w:tabs>
        <w:ind w:left="3682" w:hanging="480"/>
      </w:pPr>
    </w:lvl>
    <w:lvl w:ilvl="7">
      <w:start w:val="1"/>
      <w:numFmt w:val="ideographTraditional"/>
      <w:lvlText w:val="%8、"/>
      <w:lvlJc w:val="left"/>
      <w:pPr>
        <w:tabs>
          <w:tab w:val="num" w:pos="4162"/>
        </w:tabs>
        <w:ind w:left="4162" w:hanging="480"/>
      </w:pPr>
    </w:lvl>
    <w:lvl w:ilvl="8">
      <w:start w:val="1"/>
      <w:numFmt w:val="lowerRoman"/>
      <w:lvlText w:val="%9."/>
      <w:lvlJc w:val="right"/>
      <w:pPr>
        <w:tabs>
          <w:tab w:val="num" w:pos="4642"/>
        </w:tabs>
        <w:ind w:left="4642" w:hanging="480"/>
      </w:pPr>
    </w:lvl>
  </w:abstractNum>
  <w:abstractNum w:abstractNumId="5">
    <w:nsid w:val="1F512E39"/>
    <w:multiLevelType w:val="hybridMultilevel"/>
    <w:tmpl w:val="1BE81280"/>
    <w:lvl w:ilvl="0" w:tplc="BE34807A">
      <w:start w:val="1"/>
      <w:numFmt w:val="decimal"/>
      <w:lvlText w:val="%1."/>
      <w:lvlJc w:val="left"/>
      <w:pPr>
        <w:tabs>
          <w:tab w:val="num" w:pos="1243"/>
        </w:tabs>
        <w:ind w:left="1243"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729"/>
        </w:tabs>
        <w:ind w:left="729" w:hanging="480"/>
      </w:pPr>
    </w:lvl>
    <w:lvl w:ilvl="2" w:tplc="0409001B" w:tentative="1">
      <w:start w:val="1"/>
      <w:numFmt w:val="lowerRoman"/>
      <w:lvlText w:val="%3."/>
      <w:lvlJc w:val="right"/>
      <w:pPr>
        <w:tabs>
          <w:tab w:val="num" w:pos="1209"/>
        </w:tabs>
        <w:ind w:left="1209" w:hanging="480"/>
      </w:pPr>
    </w:lvl>
    <w:lvl w:ilvl="3" w:tplc="0409000F" w:tentative="1">
      <w:start w:val="1"/>
      <w:numFmt w:val="decimal"/>
      <w:lvlText w:val="%4."/>
      <w:lvlJc w:val="left"/>
      <w:pPr>
        <w:tabs>
          <w:tab w:val="num" w:pos="1689"/>
        </w:tabs>
        <w:ind w:left="1689" w:hanging="480"/>
      </w:pPr>
    </w:lvl>
    <w:lvl w:ilvl="4" w:tplc="04090019" w:tentative="1">
      <w:start w:val="1"/>
      <w:numFmt w:val="ideographTraditional"/>
      <w:lvlText w:val="%5、"/>
      <w:lvlJc w:val="left"/>
      <w:pPr>
        <w:tabs>
          <w:tab w:val="num" w:pos="2169"/>
        </w:tabs>
        <w:ind w:left="2169" w:hanging="480"/>
      </w:pPr>
    </w:lvl>
    <w:lvl w:ilvl="5" w:tplc="0409001B" w:tentative="1">
      <w:start w:val="1"/>
      <w:numFmt w:val="lowerRoman"/>
      <w:lvlText w:val="%6."/>
      <w:lvlJc w:val="right"/>
      <w:pPr>
        <w:tabs>
          <w:tab w:val="num" w:pos="2649"/>
        </w:tabs>
        <w:ind w:left="2649" w:hanging="480"/>
      </w:pPr>
    </w:lvl>
    <w:lvl w:ilvl="6" w:tplc="0409000F" w:tentative="1">
      <w:start w:val="1"/>
      <w:numFmt w:val="decimal"/>
      <w:lvlText w:val="%7."/>
      <w:lvlJc w:val="left"/>
      <w:pPr>
        <w:tabs>
          <w:tab w:val="num" w:pos="3129"/>
        </w:tabs>
        <w:ind w:left="3129" w:hanging="480"/>
      </w:pPr>
    </w:lvl>
    <w:lvl w:ilvl="7" w:tplc="04090019" w:tentative="1">
      <w:start w:val="1"/>
      <w:numFmt w:val="ideographTraditional"/>
      <w:lvlText w:val="%8、"/>
      <w:lvlJc w:val="left"/>
      <w:pPr>
        <w:tabs>
          <w:tab w:val="num" w:pos="3609"/>
        </w:tabs>
        <w:ind w:left="3609" w:hanging="480"/>
      </w:pPr>
    </w:lvl>
    <w:lvl w:ilvl="8" w:tplc="0409001B" w:tentative="1">
      <w:start w:val="1"/>
      <w:numFmt w:val="lowerRoman"/>
      <w:lvlText w:val="%9."/>
      <w:lvlJc w:val="right"/>
      <w:pPr>
        <w:tabs>
          <w:tab w:val="num" w:pos="4089"/>
        </w:tabs>
        <w:ind w:left="4089" w:hanging="480"/>
      </w:pPr>
    </w:lvl>
  </w:abstractNum>
  <w:abstractNum w:abstractNumId="6">
    <w:nsid w:val="21FB49F2"/>
    <w:multiLevelType w:val="singleLevel"/>
    <w:tmpl w:val="1062F944"/>
    <w:lvl w:ilvl="0">
      <w:start w:val="1"/>
      <w:numFmt w:val="taiwaneseCountingThousand"/>
      <w:lvlText w:val="%1、"/>
      <w:lvlJc w:val="left"/>
      <w:pPr>
        <w:tabs>
          <w:tab w:val="num" w:pos="630"/>
        </w:tabs>
        <w:ind w:left="630" w:hanging="630"/>
      </w:pPr>
      <w:rPr>
        <w:rFonts w:hint="eastAsia"/>
      </w:rPr>
    </w:lvl>
  </w:abstractNum>
  <w:abstractNum w:abstractNumId="7">
    <w:nsid w:val="22444319"/>
    <w:multiLevelType w:val="multilevel"/>
    <w:tmpl w:val="8EB8B056"/>
    <w:lvl w:ilvl="0">
      <w:start w:val="1"/>
      <w:numFmt w:val="aiueo"/>
      <w:lvlText w:val="%1、"/>
      <w:legacy w:legacy="1" w:legacySpace="0" w:legacyIndent="737"/>
      <w:lvlJc w:val="left"/>
      <w:pPr>
        <w:ind w:left="737" w:hanging="737"/>
      </w:pPr>
    </w:lvl>
    <w:lvl w:ilvl="1">
      <w:start w:val="1"/>
      <w:numFmt w:val="aiueo"/>
      <w:lvlText w:val="(%2)"/>
      <w:legacy w:legacy="1" w:legacySpace="0" w:legacyIndent="680"/>
      <w:lvlJc w:val="left"/>
      <w:pPr>
        <w:ind w:left="1417" w:hanging="680"/>
      </w:pPr>
    </w:lvl>
    <w:lvl w:ilvl="2">
      <w:start w:val="1"/>
      <w:numFmt w:val="decimal"/>
      <w:lvlText w:val="%3."/>
      <w:legacy w:legacy="1" w:legacySpace="0" w:legacyIndent="680"/>
      <w:lvlJc w:val="left"/>
      <w:pPr>
        <w:ind w:left="2097" w:hanging="680"/>
      </w:pPr>
    </w:lvl>
    <w:lvl w:ilvl="3">
      <w:start w:val="1"/>
      <w:numFmt w:val="decimal"/>
      <w:lvlText w:val="%4)"/>
      <w:legacy w:legacy="1" w:legacySpace="0" w:legacyIndent="425"/>
      <w:lvlJc w:val="left"/>
      <w:pPr>
        <w:ind w:left="2522" w:hanging="425"/>
      </w:pPr>
    </w:lvl>
    <w:lvl w:ilvl="4">
      <w:start w:val="1"/>
      <w:numFmt w:val="decimal"/>
      <w:lvlText w:val="(%5)"/>
      <w:legacy w:legacy="1" w:legacySpace="0" w:legacyIndent="425"/>
      <w:lvlJc w:val="left"/>
      <w:pPr>
        <w:ind w:left="2947" w:hanging="425"/>
      </w:pPr>
    </w:lvl>
    <w:lvl w:ilvl="5">
      <w:start w:val="1"/>
      <w:numFmt w:val="lowerLetter"/>
      <w:lvlText w:val="%6."/>
      <w:legacy w:legacy="1" w:legacySpace="0" w:legacyIndent="425"/>
      <w:lvlJc w:val="left"/>
      <w:pPr>
        <w:ind w:left="3372" w:hanging="425"/>
      </w:pPr>
    </w:lvl>
    <w:lvl w:ilvl="6">
      <w:start w:val="1"/>
      <w:numFmt w:val="lowerLetter"/>
      <w:lvlText w:val="%7)"/>
      <w:legacy w:legacy="1" w:legacySpace="0" w:legacyIndent="425"/>
      <w:lvlJc w:val="left"/>
      <w:pPr>
        <w:ind w:left="3797" w:hanging="425"/>
      </w:pPr>
    </w:lvl>
    <w:lvl w:ilvl="7">
      <w:start w:val="1"/>
      <w:numFmt w:val="lowerRoman"/>
      <w:lvlText w:val="(%8)"/>
      <w:legacy w:legacy="1" w:legacySpace="0" w:legacyIndent="425"/>
      <w:lvlJc w:val="left"/>
      <w:pPr>
        <w:ind w:left="4222" w:hanging="425"/>
      </w:pPr>
    </w:lvl>
    <w:lvl w:ilvl="8">
      <w:start w:val="1"/>
      <w:numFmt w:val="lowerRoman"/>
      <w:lvlText w:val="%9"/>
      <w:legacy w:legacy="1" w:legacySpace="0" w:legacyIndent="425"/>
      <w:lvlJc w:val="left"/>
      <w:pPr>
        <w:ind w:left="4647" w:hanging="425"/>
      </w:pPr>
    </w:lvl>
  </w:abstractNum>
  <w:abstractNum w:abstractNumId="8">
    <w:nsid w:val="239835A6"/>
    <w:multiLevelType w:val="hybridMultilevel"/>
    <w:tmpl w:val="C9705F24"/>
    <w:lvl w:ilvl="0" w:tplc="D0A834C2">
      <w:start w:val="1"/>
      <w:numFmt w:val="taiwaneseCountingThousand"/>
      <w:lvlText w:val="(%1)."/>
      <w:lvlJc w:val="left"/>
      <w:pPr>
        <w:tabs>
          <w:tab w:val="num" w:pos="1369"/>
        </w:tabs>
        <w:ind w:left="1369" w:hanging="567"/>
      </w:pPr>
      <w:rPr>
        <w:rFonts w:ascii="Arial" w:eastAsia="標楷體" w:hAnsi="Arial" w:hint="default"/>
        <w:b w:val="0"/>
        <w:i w:val="0"/>
      </w:rPr>
    </w:lvl>
    <w:lvl w:ilvl="1" w:tplc="04090019" w:tentative="1">
      <w:start w:val="1"/>
      <w:numFmt w:val="ideographTraditional"/>
      <w:lvlText w:val="%2、"/>
      <w:lvlJc w:val="left"/>
      <w:pPr>
        <w:tabs>
          <w:tab w:val="num" w:pos="1282"/>
        </w:tabs>
        <w:ind w:left="1282" w:hanging="480"/>
      </w:pPr>
    </w:lvl>
    <w:lvl w:ilvl="2" w:tplc="0409001B" w:tentative="1">
      <w:start w:val="1"/>
      <w:numFmt w:val="lowerRoman"/>
      <w:lvlText w:val="%3."/>
      <w:lvlJc w:val="right"/>
      <w:pPr>
        <w:tabs>
          <w:tab w:val="num" w:pos="1762"/>
        </w:tabs>
        <w:ind w:left="1762" w:hanging="480"/>
      </w:pPr>
    </w:lvl>
    <w:lvl w:ilvl="3" w:tplc="0409000F" w:tentative="1">
      <w:start w:val="1"/>
      <w:numFmt w:val="decimal"/>
      <w:lvlText w:val="%4."/>
      <w:lvlJc w:val="left"/>
      <w:pPr>
        <w:tabs>
          <w:tab w:val="num" w:pos="2242"/>
        </w:tabs>
        <w:ind w:left="2242" w:hanging="480"/>
      </w:pPr>
    </w:lvl>
    <w:lvl w:ilvl="4" w:tplc="04090019" w:tentative="1">
      <w:start w:val="1"/>
      <w:numFmt w:val="ideographTraditional"/>
      <w:lvlText w:val="%5、"/>
      <w:lvlJc w:val="left"/>
      <w:pPr>
        <w:tabs>
          <w:tab w:val="num" w:pos="2722"/>
        </w:tabs>
        <w:ind w:left="2722" w:hanging="480"/>
      </w:pPr>
    </w:lvl>
    <w:lvl w:ilvl="5" w:tplc="0409001B" w:tentative="1">
      <w:start w:val="1"/>
      <w:numFmt w:val="lowerRoman"/>
      <w:lvlText w:val="%6."/>
      <w:lvlJc w:val="right"/>
      <w:pPr>
        <w:tabs>
          <w:tab w:val="num" w:pos="3202"/>
        </w:tabs>
        <w:ind w:left="3202" w:hanging="480"/>
      </w:pPr>
    </w:lvl>
    <w:lvl w:ilvl="6" w:tplc="0409000F" w:tentative="1">
      <w:start w:val="1"/>
      <w:numFmt w:val="decimal"/>
      <w:lvlText w:val="%7."/>
      <w:lvlJc w:val="left"/>
      <w:pPr>
        <w:tabs>
          <w:tab w:val="num" w:pos="3682"/>
        </w:tabs>
        <w:ind w:left="3682" w:hanging="480"/>
      </w:pPr>
    </w:lvl>
    <w:lvl w:ilvl="7" w:tplc="04090019" w:tentative="1">
      <w:start w:val="1"/>
      <w:numFmt w:val="ideographTraditional"/>
      <w:lvlText w:val="%8、"/>
      <w:lvlJc w:val="left"/>
      <w:pPr>
        <w:tabs>
          <w:tab w:val="num" w:pos="4162"/>
        </w:tabs>
        <w:ind w:left="4162" w:hanging="480"/>
      </w:pPr>
    </w:lvl>
    <w:lvl w:ilvl="8" w:tplc="0409001B" w:tentative="1">
      <w:start w:val="1"/>
      <w:numFmt w:val="lowerRoman"/>
      <w:lvlText w:val="%9."/>
      <w:lvlJc w:val="right"/>
      <w:pPr>
        <w:tabs>
          <w:tab w:val="num" w:pos="4642"/>
        </w:tabs>
        <w:ind w:left="4642" w:hanging="480"/>
      </w:pPr>
    </w:lvl>
  </w:abstractNum>
  <w:abstractNum w:abstractNumId="9">
    <w:nsid w:val="246B6402"/>
    <w:multiLevelType w:val="multilevel"/>
    <w:tmpl w:val="C1F6B11A"/>
    <w:lvl w:ilvl="0">
      <w:start w:val="1"/>
      <w:numFmt w:val="taiwaneseCountingThousand"/>
      <w:lvlText w:val="(%1)."/>
      <w:lvlJc w:val="left"/>
      <w:pPr>
        <w:tabs>
          <w:tab w:val="num" w:pos="1247"/>
        </w:tabs>
        <w:ind w:left="1247" w:hanging="567"/>
      </w:pPr>
      <w:rPr>
        <w:rFonts w:ascii="Arial" w:eastAsia="標楷體" w:hAnsi="Arial" w:hint="default"/>
        <w:b w:val="0"/>
        <w:i w:val="0"/>
      </w:rPr>
    </w:lvl>
    <w:lvl w:ilvl="1">
      <w:start w:val="1"/>
      <w:numFmt w:val="taiwaneseCountingThousand"/>
      <w:lvlText w:val="(%2)."/>
      <w:lvlJc w:val="left"/>
      <w:pPr>
        <w:tabs>
          <w:tab w:val="num" w:pos="1047"/>
        </w:tabs>
        <w:ind w:left="1047" w:hanging="567"/>
      </w:pPr>
      <w:rPr>
        <w:rFonts w:ascii="Arial" w:eastAsia="標楷體" w:hAnsi="Arial" w:hint="default"/>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474335E"/>
    <w:multiLevelType w:val="hybridMultilevel"/>
    <w:tmpl w:val="FC34DD34"/>
    <w:lvl w:ilvl="0" w:tplc="B0427D10">
      <w:start w:val="1"/>
      <w:numFmt w:val="taiwaneseCountingThousand"/>
      <w:lvlText w:val="(%1)."/>
      <w:lvlJc w:val="left"/>
      <w:pPr>
        <w:tabs>
          <w:tab w:val="num" w:pos="1247"/>
        </w:tabs>
        <w:ind w:left="1247" w:hanging="567"/>
      </w:pPr>
      <w:rPr>
        <w:rFonts w:ascii="Arial" w:eastAsia="標楷體" w:hAnsi="Arial" w:hint="default"/>
        <w:b w:val="0"/>
        <w:i w:val="0"/>
      </w:rPr>
    </w:lvl>
    <w:lvl w:ilvl="1" w:tplc="D0A834C2">
      <w:start w:val="1"/>
      <w:numFmt w:val="taiwaneseCountingThousand"/>
      <w:lvlText w:val="(%2)."/>
      <w:lvlJc w:val="left"/>
      <w:pPr>
        <w:tabs>
          <w:tab w:val="num" w:pos="1047"/>
        </w:tabs>
        <w:ind w:left="1047" w:hanging="567"/>
      </w:pPr>
      <w:rPr>
        <w:rFonts w:ascii="Arial" w:eastAsia="標楷體" w:hAnsi="Arial" w:hint="default"/>
        <w:b w:val="0"/>
        <w:i w:val="0"/>
      </w:rPr>
    </w:lvl>
    <w:lvl w:ilvl="2" w:tplc="BE34807A">
      <w:start w:val="1"/>
      <w:numFmt w:val="decimal"/>
      <w:lvlText w:val="%3."/>
      <w:lvlJc w:val="left"/>
      <w:pPr>
        <w:tabs>
          <w:tab w:val="num" w:pos="1243"/>
        </w:tabs>
        <w:ind w:left="1243" w:hanging="283"/>
      </w:pPr>
      <w:rPr>
        <w:rFonts w:ascii="Arial" w:eastAsia="標楷體" w:hAnsi="Arial" w:hint="default"/>
        <w:b w:val="0"/>
        <w:i w:val="0"/>
        <w:sz w:val="24"/>
        <w:szCs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7E40289"/>
    <w:multiLevelType w:val="multilevel"/>
    <w:tmpl w:val="94BA518A"/>
    <w:lvl w:ilvl="0">
      <w:start w:val="1"/>
      <w:numFmt w:val="taiwaneseCountingThousand"/>
      <w:lvlText w:val="(%1)."/>
      <w:lvlJc w:val="left"/>
      <w:pPr>
        <w:tabs>
          <w:tab w:val="num" w:pos="1247"/>
        </w:tabs>
        <w:ind w:left="1247" w:hanging="567"/>
      </w:pPr>
      <w:rPr>
        <w:rFonts w:ascii="Arial" w:eastAsia="標楷體" w:hAnsi="Arial" w:hint="default"/>
        <w:b w:val="0"/>
        <w:i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29961683"/>
    <w:multiLevelType w:val="hybridMultilevel"/>
    <w:tmpl w:val="9B7A1A4C"/>
    <w:lvl w:ilvl="0" w:tplc="D0A834C2">
      <w:start w:val="1"/>
      <w:numFmt w:val="taiwaneseCountingThousand"/>
      <w:lvlText w:val="(%1)."/>
      <w:lvlJc w:val="left"/>
      <w:pPr>
        <w:tabs>
          <w:tab w:val="num" w:pos="1369"/>
        </w:tabs>
        <w:ind w:left="1369" w:hanging="567"/>
      </w:pPr>
      <w:rPr>
        <w:rFonts w:ascii="Arial" w:eastAsia="標楷體" w:hAnsi="Arial" w:hint="default"/>
        <w:b w:val="0"/>
        <w:i w:val="0"/>
      </w:rPr>
    </w:lvl>
    <w:lvl w:ilvl="1" w:tplc="04090019" w:tentative="1">
      <w:start w:val="1"/>
      <w:numFmt w:val="ideographTraditional"/>
      <w:lvlText w:val="%2、"/>
      <w:lvlJc w:val="left"/>
      <w:pPr>
        <w:tabs>
          <w:tab w:val="num" w:pos="1282"/>
        </w:tabs>
        <w:ind w:left="1282" w:hanging="480"/>
      </w:pPr>
    </w:lvl>
    <w:lvl w:ilvl="2" w:tplc="0409001B" w:tentative="1">
      <w:start w:val="1"/>
      <w:numFmt w:val="lowerRoman"/>
      <w:lvlText w:val="%3."/>
      <w:lvlJc w:val="right"/>
      <w:pPr>
        <w:tabs>
          <w:tab w:val="num" w:pos="1762"/>
        </w:tabs>
        <w:ind w:left="1762" w:hanging="480"/>
      </w:pPr>
    </w:lvl>
    <w:lvl w:ilvl="3" w:tplc="0409000F" w:tentative="1">
      <w:start w:val="1"/>
      <w:numFmt w:val="decimal"/>
      <w:lvlText w:val="%4."/>
      <w:lvlJc w:val="left"/>
      <w:pPr>
        <w:tabs>
          <w:tab w:val="num" w:pos="2242"/>
        </w:tabs>
        <w:ind w:left="2242" w:hanging="480"/>
      </w:pPr>
    </w:lvl>
    <w:lvl w:ilvl="4" w:tplc="04090019" w:tentative="1">
      <w:start w:val="1"/>
      <w:numFmt w:val="ideographTraditional"/>
      <w:lvlText w:val="%5、"/>
      <w:lvlJc w:val="left"/>
      <w:pPr>
        <w:tabs>
          <w:tab w:val="num" w:pos="2722"/>
        </w:tabs>
        <w:ind w:left="2722" w:hanging="480"/>
      </w:pPr>
    </w:lvl>
    <w:lvl w:ilvl="5" w:tplc="0409001B" w:tentative="1">
      <w:start w:val="1"/>
      <w:numFmt w:val="lowerRoman"/>
      <w:lvlText w:val="%6."/>
      <w:lvlJc w:val="right"/>
      <w:pPr>
        <w:tabs>
          <w:tab w:val="num" w:pos="3202"/>
        </w:tabs>
        <w:ind w:left="3202" w:hanging="480"/>
      </w:pPr>
    </w:lvl>
    <w:lvl w:ilvl="6" w:tplc="0409000F" w:tentative="1">
      <w:start w:val="1"/>
      <w:numFmt w:val="decimal"/>
      <w:lvlText w:val="%7."/>
      <w:lvlJc w:val="left"/>
      <w:pPr>
        <w:tabs>
          <w:tab w:val="num" w:pos="3682"/>
        </w:tabs>
        <w:ind w:left="3682" w:hanging="480"/>
      </w:pPr>
    </w:lvl>
    <w:lvl w:ilvl="7" w:tplc="04090019" w:tentative="1">
      <w:start w:val="1"/>
      <w:numFmt w:val="ideographTraditional"/>
      <w:lvlText w:val="%8、"/>
      <w:lvlJc w:val="left"/>
      <w:pPr>
        <w:tabs>
          <w:tab w:val="num" w:pos="4162"/>
        </w:tabs>
        <w:ind w:left="4162" w:hanging="480"/>
      </w:pPr>
    </w:lvl>
    <w:lvl w:ilvl="8" w:tplc="0409001B" w:tentative="1">
      <w:start w:val="1"/>
      <w:numFmt w:val="lowerRoman"/>
      <w:lvlText w:val="%9."/>
      <w:lvlJc w:val="right"/>
      <w:pPr>
        <w:tabs>
          <w:tab w:val="num" w:pos="4642"/>
        </w:tabs>
        <w:ind w:left="4642" w:hanging="480"/>
      </w:pPr>
    </w:lvl>
  </w:abstractNum>
  <w:abstractNum w:abstractNumId="13">
    <w:nsid w:val="2A454E1B"/>
    <w:multiLevelType w:val="hybridMultilevel"/>
    <w:tmpl w:val="4F7CDEEE"/>
    <w:lvl w:ilvl="0" w:tplc="D0A834C2">
      <w:start w:val="1"/>
      <w:numFmt w:val="taiwaneseCountingThousand"/>
      <w:lvlText w:val="(%1)."/>
      <w:lvlJc w:val="left"/>
      <w:pPr>
        <w:tabs>
          <w:tab w:val="num" w:pos="1369"/>
        </w:tabs>
        <w:ind w:left="1369" w:hanging="567"/>
      </w:pPr>
      <w:rPr>
        <w:rFonts w:ascii="Arial" w:eastAsia="標楷體" w:hAnsi="Arial" w:hint="default"/>
        <w:b w:val="0"/>
        <w:i w:val="0"/>
      </w:rPr>
    </w:lvl>
    <w:lvl w:ilvl="1" w:tplc="04090019" w:tentative="1">
      <w:start w:val="1"/>
      <w:numFmt w:val="ideographTraditional"/>
      <w:lvlText w:val="%2、"/>
      <w:lvlJc w:val="left"/>
      <w:pPr>
        <w:tabs>
          <w:tab w:val="num" w:pos="1282"/>
        </w:tabs>
        <w:ind w:left="1282" w:hanging="480"/>
      </w:pPr>
    </w:lvl>
    <w:lvl w:ilvl="2" w:tplc="0409001B" w:tentative="1">
      <w:start w:val="1"/>
      <w:numFmt w:val="lowerRoman"/>
      <w:lvlText w:val="%3."/>
      <w:lvlJc w:val="right"/>
      <w:pPr>
        <w:tabs>
          <w:tab w:val="num" w:pos="1762"/>
        </w:tabs>
        <w:ind w:left="1762" w:hanging="480"/>
      </w:pPr>
    </w:lvl>
    <w:lvl w:ilvl="3" w:tplc="0409000F" w:tentative="1">
      <w:start w:val="1"/>
      <w:numFmt w:val="decimal"/>
      <w:lvlText w:val="%4."/>
      <w:lvlJc w:val="left"/>
      <w:pPr>
        <w:tabs>
          <w:tab w:val="num" w:pos="2242"/>
        </w:tabs>
        <w:ind w:left="2242" w:hanging="480"/>
      </w:pPr>
    </w:lvl>
    <w:lvl w:ilvl="4" w:tplc="04090019" w:tentative="1">
      <w:start w:val="1"/>
      <w:numFmt w:val="ideographTraditional"/>
      <w:lvlText w:val="%5、"/>
      <w:lvlJc w:val="left"/>
      <w:pPr>
        <w:tabs>
          <w:tab w:val="num" w:pos="2722"/>
        </w:tabs>
        <w:ind w:left="2722" w:hanging="480"/>
      </w:pPr>
    </w:lvl>
    <w:lvl w:ilvl="5" w:tplc="0409001B" w:tentative="1">
      <w:start w:val="1"/>
      <w:numFmt w:val="lowerRoman"/>
      <w:lvlText w:val="%6."/>
      <w:lvlJc w:val="right"/>
      <w:pPr>
        <w:tabs>
          <w:tab w:val="num" w:pos="3202"/>
        </w:tabs>
        <w:ind w:left="3202" w:hanging="480"/>
      </w:pPr>
    </w:lvl>
    <w:lvl w:ilvl="6" w:tplc="0409000F" w:tentative="1">
      <w:start w:val="1"/>
      <w:numFmt w:val="decimal"/>
      <w:lvlText w:val="%7."/>
      <w:lvlJc w:val="left"/>
      <w:pPr>
        <w:tabs>
          <w:tab w:val="num" w:pos="3682"/>
        </w:tabs>
        <w:ind w:left="3682" w:hanging="480"/>
      </w:pPr>
    </w:lvl>
    <w:lvl w:ilvl="7" w:tplc="04090019" w:tentative="1">
      <w:start w:val="1"/>
      <w:numFmt w:val="ideographTraditional"/>
      <w:lvlText w:val="%8、"/>
      <w:lvlJc w:val="left"/>
      <w:pPr>
        <w:tabs>
          <w:tab w:val="num" w:pos="4162"/>
        </w:tabs>
        <w:ind w:left="4162" w:hanging="480"/>
      </w:pPr>
    </w:lvl>
    <w:lvl w:ilvl="8" w:tplc="0409001B" w:tentative="1">
      <w:start w:val="1"/>
      <w:numFmt w:val="lowerRoman"/>
      <w:lvlText w:val="%9."/>
      <w:lvlJc w:val="right"/>
      <w:pPr>
        <w:tabs>
          <w:tab w:val="num" w:pos="4642"/>
        </w:tabs>
        <w:ind w:left="4642" w:hanging="480"/>
      </w:pPr>
    </w:lvl>
  </w:abstractNum>
  <w:abstractNum w:abstractNumId="14">
    <w:nsid w:val="2F93611E"/>
    <w:multiLevelType w:val="multilevel"/>
    <w:tmpl w:val="9C06053C"/>
    <w:lvl w:ilvl="0">
      <w:start w:val="1"/>
      <w:numFmt w:val="taiwaneseCountingThousand"/>
      <w:lvlText w:val="%1、"/>
      <w:lvlJc w:val="left"/>
      <w:pPr>
        <w:tabs>
          <w:tab w:val="num" w:pos="680"/>
        </w:tabs>
        <w:ind w:left="680" w:hanging="567"/>
      </w:pPr>
      <w:rPr>
        <w:rFonts w:eastAsia="標楷體" w:hint="eastAsia"/>
        <w:b w:val="0"/>
        <w:i w:val="0"/>
      </w:rPr>
    </w:lvl>
    <w:lvl w:ilvl="1">
      <w:start w:val="1"/>
      <w:numFmt w:val="taiwaneseCountingThousand"/>
      <w:suff w:val="nothing"/>
      <w:lvlText w:val="(%2)"/>
      <w:lvlJc w:val="left"/>
      <w:pPr>
        <w:ind w:left="1474" w:hanging="794"/>
      </w:pPr>
      <w:rPr>
        <w:rFonts w:hint="eastAsia"/>
      </w:rPr>
    </w:lvl>
    <w:lvl w:ilvl="2">
      <w:start w:val="1"/>
      <w:numFmt w:val="decimalFullWidth"/>
      <w:suff w:val="nothing"/>
      <w:lvlText w:val="%3"/>
      <w:lvlJc w:val="left"/>
      <w:pPr>
        <w:ind w:left="1701" w:hanging="283"/>
      </w:pPr>
      <w:rPr>
        <w:rFonts w:hint="eastAsia"/>
      </w:rPr>
    </w:lvl>
    <w:lvl w:ilvl="3">
      <w:start w:val="1"/>
      <w:numFmt w:val="decimalFullWidth"/>
      <w:suff w:val="nothing"/>
      <w:lvlText w:val="(%4)"/>
      <w:lvlJc w:val="left"/>
      <w:pPr>
        <w:ind w:left="2495" w:hanging="794"/>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nsid w:val="34A60BC3"/>
    <w:multiLevelType w:val="multilevel"/>
    <w:tmpl w:val="5F7A6814"/>
    <w:lvl w:ilvl="0">
      <w:start w:val="1"/>
      <w:numFmt w:val="taiwaneseCountingThousand"/>
      <w:lvlText w:val="(%1)."/>
      <w:lvlJc w:val="left"/>
      <w:pPr>
        <w:tabs>
          <w:tab w:val="num" w:pos="1047"/>
        </w:tabs>
        <w:ind w:left="1047" w:hanging="567"/>
      </w:pPr>
      <w:rPr>
        <w:rFonts w:ascii="Arial" w:eastAsia="標楷體" w:hAnsi="Arial" w:hint="default"/>
        <w:b w:val="0"/>
        <w:i w:val="0"/>
      </w:rPr>
    </w:lvl>
    <w:lvl w:ilvl="1">
      <w:start w:val="1"/>
      <w:numFmt w:val="decimal"/>
      <w:lvlText w:val="%2."/>
      <w:lvlJc w:val="left"/>
      <w:pPr>
        <w:tabs>
          <w:tab w:val="num" w:pos="763"/>
        </w:tabs>
        <w:ind w:left="763" w:hanging="283"/>
      </w:pPr>
      <w:rPr>
        <w:rFonts w:ascii="Arial" w:eastAsia="標楷體" w:hAnsi="Arial" w:hint="default"/>
        <w:b w:val="0"/>
        <w:i w:val="0"/>
        <w:sz w:val="24"/>
        <w:szCs w:val="24"/>
      </w:rPr>
    </w:lvl>
    <w:lvl w:ilvl="2">
      <w:start w:val="1"/>
      <w:numFmt w:val="taiwaneseCountingThousand"/>
      <w:lvlText w:val="(%3)."/>
      <w:lvlJc w:val="left"/>
      <w:pPr>
        <w:tabs>
          <w:tab w:val="num" w:pos="1527"/>
        </w:tabs>
        <w:ind w:left="1527" w:hanging="567"/>
      </w:pPr>
      <w:rPr>
        <w:rFonts w:ascii="Arial" w:eastAsia="標楷體" w:hAnsi="Arial" w:hint="default"/>
        <w:b w:val="0"/>
        <w:i w:val="0"/>
      </w:rPr>
    </w:lvl>
    <w:lvl w:ilvl="3">
      <w:start w:val="1"/>
      <w:numFmt w:val="decimal"/>
      <w:lvlText w:val="%4."/>
      <w:lvlJc w:val="left"/>
      <w:pPr>
        <w:tabs>
          <w:tab w:val="num" w:pos="1723"/>
        </w:tabs>
        <w:ind w:left="1723" w:hanging="283"/>
      </w:pPr>
      <w:rPr>
        <w:rFonts w:ascii="Arial" w:eastAsia="標楷體" w:hAnsi="Arial" w:hint="default"/>
        <w:b w:val="0"/>
        <w:i w:val="0"/>
        <w:sz w:val="24"/>
        <w:szCs w:val="24"/>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nsid w:val="3FC706E1"/>
    <w:multiLevelType w:val="hybridMultilevel"/>
    <w:tmpl w:val="3BA0FA3C"/>
    <w:lvl w:ilvl="0" w:tplc="BE34807A">
      <w:start w:val="1"/>
      <w:numFmt w:val="decimal"/>
      <w:lvlText w:val="%1."/>
      <w:lvlJc w:val="left"/>
      <w:pPr>
        <w:tabs>
          <w:tab w:val="num" w:pos="1243"/>
        </w:tabs>
        <w:ind w:left="1243" w:hanging="283"/>
      </w:pPr>
      <w:rPr>
        <w:rFonts w:ascii="Arial" w:eastAsia="標楷體" w:hAnsi="Arial" w:hint="default"/>
        <w:b w:val="0"/>
        <w:i w:val="0"/>
        <w:sz w:val="24"/>
        <w:szCs w:val="24"/>
      </w:rPr>
    </w:lvl>
    <w:lvl w:ilvl="1" w:tplc="04090019" w:tentative="1">
      <w:start w:val="1"/>
      <w:numFmt w:val="ideographTraditional"/>
      <w:lvlText w:val="%2、"/>
      <w:lvlJc w:val="left"/>
      <w:pPr>
        <w:tabs>
          <w:tab w:val="num" w:pos="729"/>
        </w:tabs>
        <w:ind w:left="729" w:hanging="480"/>
      </w:pPr>
    </w:lvl>
    <w:lvl w:ilvl="2" w:tplc="0409001B" w:tentative="1">
      <w:start w:val="1"/>
      <w:numFmt w:val="lowerRoman"/>
      <w:lvlText w:val="%3."/>
      <w:lvlJc w:val="right"/>
      <w:pPr>
        <w:tabs>
          <w:tab w:val="num" w:pos="1209"/>
        </w:tabs>
        <w:ind w:left="1209" w:hanging="480"/>
      </w:pPr>
    </w:lvl>
    <w:lvl w:ilvl="3" w:tplc="0409000F" w:tentative="1">
      <w:start w:val="1"/>
      <w:numFmt w:val="decimal"/>
      <w:lvlText w:val="%4."/>
      <w:lvlJc w:val="left"/>
      <w:pPr>
        <w:tabs>
          <w:tab w:val="num" w:pos="1689"/>
        </w:tabs>
        <w:ind w:left="1689" w:hanging="480"/>
      </w:pPr>
    </w:lvl>
    <w:lvl w:ilvl="4" w:tplc="04090019" w:tentative="1">
      <w:start w:val="1"/>
      <w:numFmt w:val="ideographTraditional"/>
      <w:lvlText w:val="%5、"/>
      <w:lvlJc w:val="left"/>
      <w:pPr>
        <w:tabs>
          <w:tab w:val="num" w:pos="2169"/>
        </w:tabs>
        <w:ind w:left="2169" w:hanging="480"/>
      </w:pPr>
    </w:lvl>
    <w:lvl w:ilvl="5" w:tplc="0409001B" w:tentative="1">
      <w:start w:val="1"/>
      <w:numFmt w:val="lowerRoman"/>
      <w:lvlText w:val="%6."/>
      <w:lvlJc w:val="right"/>
      <w:pPr>
        <w:tabs>
          <w:tab w:val="num" w:pos="2649"/>
        </w:tabs>
        <w:ind w:left="2649" w:hanging="480"/>
      </w:pPr>
    </w:lvl>
    <w:lvl w:ilvl="6" w:tplc="0409000F" w:tentative="1">
      <w:start w:val="1"/>
      <w:numFmt w:val="decimal"/>
      <w:lvlText w:val="%7."/>
      <w:lvlJc w:val="left"/>
      <w:pPr>
        <w:tabs>
          <w:tab w:val="num" w:pos="3129"/>
        </w:tabs>
        <w:ind w:left="3129" w:hanging="480"/>
      </w:pPr>
    </w:lvl>
    <w:lvl w:ilvl="7" w:tplc="04090019" w:tentative="1">
      <w:start w:val="1"/>
      <w:numFmt w:val="ideographTraditional"/>
      <w:lvlText w:val="%8、"/>
      <w:lvlJc w:val="left"/>
      <w:pPr>
        <w:tabs>
          <w:tab w:val="num" w:pos="3609"/>
        </w:tabs>
        <w:ind w:left="3609" w:hanging="480"/>
      </w:pPr>
    </w:lvl>
    <w:lvl w:ilvl="8" w:tplc="0409001B" w:tentative="1">
      <w:start w:val="1"/>
      <w:numFmt w:val="lowerRoman"/>
      <w:lvlText w:val="%9."/>
      <w:lvlJc w:val="right"/>
      <w:pPr>
        <w:tabs>
          <w:tab w:val="num" w:pos="4089"/>
        </w:tabs>
        <w:ind w:left="4089" w:hanging="480"/>
      </w:pPr>
    </w:lvl>
  </w:abstractNum>
  <w:abstractNum w:abstractNumId="17">
    <w:nsid w:val="446508E6"/>
    <w:multiLevelType w:val="hybridMultilevel"/>
    <w:tmpl w:val="5F7A6814"/>
    <w:lvl w:ilvl="0" w:tplc="D0A834C2">
      <w:start w:val="1"/>
      <w:numFmt w:val="taiwaneseCountingThousand"/>
      <w:lvlText w:val="(%1)."/>
      <w:lvlJc w:val="left"/>
      <w:pPr>
        <w:tabs>
          <w:tab w:val="num" w:pos="1047"/>
        </w:tabs>
        <w:ind w:left="1047" w:hanging="567"/>
      </w:pPr>
      <w:rPr>
        <w:rFonts w:ascii="Arial" w:eastAsia="標楷體" w:hAnsi="Arial" w:hint="default"/>
        <w:b w:val="0"/>
        <w:i w:val="0"/>
      </w:rPr>
    </w:lvl>
    <w:lvl w:ilvl="1" w:tplc="BE34807A">
      <w:start w:val="1"/>
      <w:numFmt w:val="decimal"/>
      <w:lvlText w:val="%2."/>
      <w:lvlJc w:val="left"/>
      <w:pPr>
        <w:tabs>
          <w:tab w:val="num" w:pos="763"/>
        </w:tabs>
        <w:ind w:left="763" w:hanging="283"/>
      </w:pPr>
      <w:rPr>
        <w:rFonts w:ascii="Arial" w:eastAsia="標楷體" w:hAnsi="Arial" w:hint="default"/>
        <w:b w:val="0"/>
        <w:i w:val="0"/>
        <w:sz w:val="24"/>
        <w:szCs w:val="24"/>
      </w:rPr>
    </w:lvl>
    <w:lvl w:ilvl="2" w:tplc="D0A834C2">
      <w:start w:val="1"/>
      <w:numFmt w:val="taiwaneseCountingThousand"/>
      <w:lvlText w:val="(%3)."/>
      <w:lvlJc w:val="left"/>
      <w:pPr>
        <w:tabs>
          <w:tab w:val="num" w:pos="1527"/>
        </w:tabs>
        <w:ind w:left="1527" w:hanging="567"/>
      </w:pPr>
      <w:rPr>
        <w:rFonts w:ascii="Arial" w:eastAsia="標楷體" w:hAnsi="Arial" w:hint="default"/>
        <w:b w:val="0"/>
        <w:i w:val="0"/>
      </w:rPr>
    </w:lvl>
    <w:lvl w:ilvl="3" w:tplc="BE34807A">
      <w:start w:val="1"/>
      <w:numFmt w:val="decimal"/>
      <w:lvlText w:val="%4."/>
      <w:lvlJc w:val="left"/>
      <w:pPr>
        <w:tabs>
          <w:tab w:val="num" w:pos="1723"/>
        </w:tabs>
        <w:ind w:left="1723" w:hanging="283"/>
      </w:pPr>
      <w:rPr>
        <w:rFonts w:ascii="Arial" w:eastAsia="標楷體" w:hAnsi="Arial" w:hint="default"/>
        <w:b w:val="0"/>
        <w:i w:val="0"/>
        <w:sz w:val="24"/>
        <w:szCs w:val="24"/>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A764C5D"/>
    <w:multiLevelType w:val="hybridMultilevel"/>
    <w:tmpl w:val="ADF075EC"/>
    <w:lvl w:ilvl="0" w:tplc="0409000F">
      <w:start w:val="1"/>
      <w:numFmt w:val="decimal"/>
      <w:lvlText w:val="%1."/>
      <w:lvlJc w:val="left"/>
      <w:pPr>
        <w:tabs>
          <w:tab w:val="num" w:pos="1080"/>
        </w:tabs>
        <w:ind w:left="1080" w:hanging="480"/>
      </w:pPr>
    </w:lvl>
    <w:lvl w:ilvl="1" w:tplc="04090019" w:tentative="1">
      <w:start w:val="1"/>
      <w:numFmt w:val="ideographTraditional"/>
      <w:lvlText w:val="%2、"/>
      <w:lvlJc w:val="left"/>
      <w:pPr>
        <w:tabs>
          <w:tab w:val="num" w:pos="272"/>
        </w:tabs>
        <w:ind w:left="272" w:hanging="480"/>
      </w:pPr>
    </w:lvl>
    <w:lvl w:ilvl="2" w:tplc="0409001B" w:tentative="1">
      <w:start w:val="1"/>
      <w:numFmt w:val="lowerRoman"/>
      <w:lvlText w:val="%3."/>
      <w:lvlJc w:val="right"/>
      <w:pPr>
        <w:tabs>
          <w:tab w:val="num" w:pos="752"/>
        </w:tabs>
        <w:ind w:left="752" w:hanging="480"/>
      </w:pPr>
    </w:lvl>
    <w:lvl w:ilvl="3" w:tplc="0409000F" w:tentative="1">
      <w:start w:val="1"/>
      <w:numFmt w:val="decimal"/>
      <w:lvlText w:val="%4."/>
      <w:lvlJc w:val="left"/>
      <w:pPr>
        <w:tabs>
          <w:tab w:val="num" w:pos="1232"/>
        </w:tabs>
        <w:ind w:left="1232" w:hanging="480"/>
      </w:pPr>
    </w:lvl>
    <w:lvl w:ilvl="4" w:tplc="04090019" w:tentative="1">
      <w:start w:val="1"/>
      <w:numFmt w:val="ideographTraditional"/>
      <w:lvlText w:val="%5、"/>
      <w:lvlJc w:val="left"/>
      <w:pPr>
        <w:tabs>
          <w:tab w:val="num" w:pos="1712"/>
        </w:tabs>
        <w:ind w:left="1712" w:hanging="480"/>
      </w:pPr>
    </w:lvl>
    <w:lvl w:ilvl="5" w:tplc="0409001B" w:tentative="1">
      <w:start w:val="1"/>
      <w:numFmt w:val="lowerRoman"/>
      <w:lvlText w:val="%6."/>
      <w:lvlJc w:val="right"/>
      <w:pPr>
        <w:tabs>
          <w:tab w:val="num" w:pos="2192"/>
        </w:tabs>
        <w:ind w:left="2192" w:hanging="480"/>
      </w:pPr>
    </w:lvl>
    <w:lvl w:ilvl="6" w:tplc="0409000F" w:tentative="1">
      <w:start w:val="1"/>
      <w:numFmt w:val="decimal"/>
      <w:lvlText w:val="%7."/>
      <w:lvlJc w:val="left"/>
      <w:pPr>
        <w:tabs>
          <w:tab w:val="num" w:pos="2672"/>
        </w:tabs>
        <w:ind w:left="2672" w:hanging="480"/>
      </w:pPr>
    </w:lvl>
    <w:lvl w:ilvl="7" w:tplc="04090019" w:tentative="1">
      <w:start w:val="1"/>
      <w:numFmt w:val="ideographTraditional"/>
      <w:lvlText w:val="%8、"/>
      <w:lvlJc w:val="left"/>
      <w:pPr>
        <w:tabs>
          <w:tab w:val="num" w:pos="3152"/>
        </w:tabs>
        <w:ind w:left="3152" w:hanging="480"/>
      </w:pPr>
    </w:lvl>
    <w:lvl w:ilvl="8" w:tplc="0409001B" w:tentative="1">
      <w:start w:val="1"/>
      <w:numFmt w:val="lowerRoman"/>
      <w:lvlText w:val="%9."/>
      <w:lvlJc w:val="right"/>
      <w:pPr>
        <w:tabs>
          <w:tab w:val="num" w:pos="3632"/>
        </w:tabs>
        <w:ind w:left="3632" w:hanging="480"/>
      </w:pPr>
    </w:lvl>
  </w:abstractNum>
  <w:abstractNum w:abstractNumId="19">
    <w:nsid w:val="54A62C8D"/>
    <w:multiLevelType w:val="hybridMultilevel"/>
    <w:tmpl w:val="AF40D570"/>
    <w:lvl w:ilvl="0" w:tplc="D0A834C2">
      <w:start w:val="1"/>
      <w:numFmt w:val="taiwaneseCountingThousand"/>
      <w:lvlText w:val="(%1)."/>
      <w:lvlJc w:val="left"/>
      <w:pPr>
        <w:tabs>
          <w:tab w:val="num" w:pos="1047"/>
        </w:tabs>
        <w:ind w:left="1047" w:hanging="567"/>
      </w:pPr>
      <w:rPr>
        <w:rFonts w:ascii="Arial" w:eastAsia="標楷體" w:hAnsi="Arial" w:hint="default"/>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59880203"/>
    <w:multiLevelType w:val="multilevel"/>
    <w:tmpl w:val="FC34DD34"/>
    <w:lvl w:ilvl="0">
      <w:start w:val="1"/>
      <w:numFmt w:val="taiwaneseCountingThousand"/>
      <w:lvlText w:val="(%1)."/>
      <w:lvlJc w:val="left"/>
      <w:pPr>
        <w:tabs>
          <w:tab w:val="num" w:pos="1247"/>
        </w:tabs>
        <w:ind w:left="1247" w:hanging="567"/>
      </w:pPr>
      <w:rPr>
        <w:rFonts w:ascii="Arial" w:eastAsia="標楷體" w:hAnsi="Arial" w:hint="default"/>
        <w:b w:val="0"/>
        <w:i w:val="0"/>
      </w:rPr>
    </w:lvl>
    <w:lvl w:ilvl="1">
      <w:start w:val="1"/>
      <w:numFmt w:val="taiwaneseCountingThousand"/>
      <w:lvlText w:val="(%2)."/>
      <w:lvlJc w:val="left"/>
      <w:pPr>
        <w:tabs>
          <w:tab w:val="num" w:pos="1047"/>
        </w:tabs>
        <w:ind w:left="1047" w:hanging="567"/>
      </w:pPr>
      <w:rPr>
        <w:rFonts w:ascii="Arial" w:eastAsia="標楷體" w:hAnsi="Arial" w:hint="default"/>
        <w:b w:val="0"/>
        <w:i w:val="0"/>
      </w:rPr>
    </w:lvl>
    <w:lvl w:ilvl="2">
      <w:start w:val="1"/>
      <w:numFmt w:val="decimal"/>
      <w:lvlText w:val="%3."/>
      <w:lvlJc w:val="left"/>
      <w:pPr>
        <w:tabs>
          <w:tab w:val="num" w:pos="1243"/>
        </w:tabs>
        <w:ind w:left="1243" w:hanging="283"/>
      </w:pPr>
      <w:rPr>
        <w:rFonts w:ascii="Arial" w:eastAsia="標楷體" w:hAnsi="Arial" w:hint="default"/>
        <w:b w:val="0"/>
        <w:i w:val="0"/>
        <w:sz w:val="24"/>
        <w:szCs w:val="24"/>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nsid w:val="5EDA12D8"/>
    <w:multiLevelType w:val="singleLevel"/>
    <w:tmpl w:val="51BC2DAC"/>
    <w:lvl w:ilvl="0">
      <w:start w:val="1"/>
      <w:numFmt w:val="taiwaneseCountingThousand"/>
      <w:lvlText w:val="(%1)"/>
      <w:lvlJc w:val="left"/>
      <w:pPr>
        <w:tabs>
          <w:tab w:val="num" w:pos="1065"/>
        </w:tabs>
        <w:ind w:left="1065" w:hanging="465"/>
      </w:pPr>
      <w:rPr>
        <w:rFonts w:hint="eastAsia"/>
      </w:rPr>
    </w:lvl>
  </w:abstractNum>
  <w:abstractNum w:abstractNumId="22">
    <w:nsid w:val="6FE44D28"/>
    <w:multiLevelType w:val="hybridMultilevel"/>
    <w:tmpl w:val="64CA1D60"/>
    <w:lvl w:ilvl="0" w:tplc="D0A834C2">
      <w:start w:val="1"/>
      <w:numFmt w:val="taiwaneseCountingThousand"/>
      <w:lvlText w:val="(%1)."/>
      <w:lvlJc w:val="left"/>
      <w:pPr>
        <w:tabs>
          <w:tab w:val="num" w:pos="1369"/>
        </w:tabs>
        <w:ind w:left="1369" w:hanging="567"/>
      </w:pPr>
      <w:rPr>
        <w:rFonts w:ascii="Arial" w:eastAsia="標楷體" w:hAnsi="Arial" w:hint="default"/>
        <w:b w:val="0"/>
        <w:i w:val="0"/>
      </w:rPr>
    </w:lvl>
    <w:lvl w:ilvl="1" w:tplc="BE34807A">
      <w:start w:val="1"/>
      <w:numFmt w:val="decimal"/>
      <w:lvlText w:val="%2."/>
      <w:lvlJc w:val="left"/>
      <w:pPr>
        <w:tabs>
          <w:tab w:val="num" w:pos="1085"/>
        </w:tabs>
        <w:ind w:left="1085" w:hanging="283"/>
      </w:pPr>
      <w:rPr>
        <w:rFonts w:ascii="Arial" w:eastAsia="標楷體" w:hAnsi="Arial" w:hint="default"/>
        <w:b w:val="0"/>
        <w:i w:val="0"/>
        <w:sz w:val="24"/>
        <w:szCs w:val="24"/>
      </w:rPr>
    </w:lvl>
    <w:lvl w:ilvl="2" w:tplc="0409001B" w:tentative="1">
      <w:start w:val="1"/>
      <w:numFmt w:val="lowerRoman"/>
      <w:lvlText w:val="%3."/>
      <w:lvlJc w:val="right"/>
      <w:pPr>
        <w:tabs>
          <w:tab w:val="num" w:pos="1762"/>
        </w:tabs>
        <w:ind w:left="1762" w:hanging="480"/>
      </w:pPr>
    </w:lvl>
    <w:lvl w:ilvl="3" w:tplc="0409000F" w:tentative="1">
      <w:start w:val="1"/>
      <w:numFmt w:val="decimal"/>
      <w:lvlText w:val="%4."/>
      <w:lvlJc w:val="left"/>
      <w:pPr>
        <w:tabs>
          <w:tab w:val="num" w:pos="2242"/>
        </w:tabs>
        <w:ind w:left="2242" w:hanging="480"/>
      </w:pPr>
    </w:lvl>
    <w:lvl w:ilvl="4" w:tplc="04090019" w:tentative="1">
      <w:start w:val="1"/>
      <w:numFmt w:val="ideographTraditional"/>
      <w:lvlText w:val="%5、"/>
      <w:lvlJc w:val="left"/>
      <w:pPr>
        <w:tabs>
          <w:tab w:val="num" w:pos="2722"/>
        </w:tabs>
        <w:ind w:left="2722" w:hanging="480"/>
      </w:pPr>
    </w:lvl>
    <w:lvl w:ilvl="5" w:tplc="0409001B" w:tentative="1">
      <w:start w:val="1"/>
      <w:numFmt w:val="lowerRoman"/>
      <w:lvlText w:val="%6."/>
      <w:lvlJc w:val="right"/>
      <w:pPr>
        <w:tabs>
          <w:tab w:val="num" w:pos="3202"/>
        </w:tabs>
        <w:ind w:left="3202" w:hanging="480"/>
      </w:pPr>
    </w:lvl>
    <w:lvl w:ilvl="6" w:tplc="0409000F" w:tentative="1">
      <w:start w:val="1"/>
      <w:numFmt w:val="decimal"/>
      <w:lvlText w:val="%7."/>
      <w:lvlJc w:val="left"/>
      <w:pPr>
        <w:tabs>
          <w:tab w:val="num" w:pos="3682"/>
        </w:tabs>
        <w:ind w:left="3682" w:hanging="480"/>
      </w:pPr>
    </w:lvl>
    <w:lvl w:ilvl="7" w:tplc="04090019" w:tentative="1">
      <w:start w:val="1"/>
      <w:numFmt w:val="ideographTraditional"/>
      <w:lvlText w:val="%8、"/>
      <w:lvlJc w:val="left"/>
      <w:pPr>
        <w:tabs>
          <w:tab w:val="num" w:pos="4162"/>
        </w:tabs>
        <w:ind w:left="4162" w:hanging="480"/>
      </w:pPr>
    </w:lvl>
    <w:lvl w:ilvl="8" w:tplc="0409001B" w:tentative="1">
      <w:start w:val="1"/>
      <w:numFmt w:val="lowerRoman"/>
      <w:lvlText w:val="%9."/>
      <w:lvlJc w:val="right"/>
      <w:pPr>
        <w:tabs>
          <w:tab w:val="num" w:pos="4642"/>
        </w:tabs>
        <w:ind w:left="4642" w:hanging="480"/>
      </w:pPr>
    </w:lvl>
  </w:abstractNum>
  <w:abstractNum w:abstractNumId="23">
    <w:nsid w:val="76242154"/>
    <w:multiLevelType w:val="hybridMultilevel"/>
    <w:tmpl w:val="1B5E5512"/>
    <w:lvl w:ilvl="0" w:tplc="201C17B8">
      <w:start w:val="1"/>
      <w:numFmt w:val="taiwaneseCountingThousand"/>
      <w:lvlText w:val="(%1)."/>
      <w:lvlJc w:val="left"/>
      <w:pPr>
        <w:tabs>
          <w:tab w:val="num" w:pos="1047"/>
        </w:tabs>
        <w:ind w:left="1047" w:hanging="567"/>
      </w:pPr>
      <w:rPr>
        <w:rFonts w:ascii="Arial" w:eastAsia="標楷體" w:hAnsi="Arial" w:hint="default"/>
        <w:b w:val="0"/>
        <w:i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77513613"/>
    <w:multiLevelType w:val="multilevel"/>
    <w:tmpl w:val="FC34DD34"/>
    <w:lvl w:ilvl="0">
      <w:start w:val="1"/>
      <w:numFmt w:val="taiwaneseCountingThousand"/>
      <w:lvlText w:val="(%1)."/>
      <w:lvlJc w:val="left"/>
      <w:pPr>
        <w:tabs>
          <w:tab w:val="num" w:pos="1247"/>
        </w:tabs>
        <w:ind w:left="1247" w:hanging="567"/>
      </w:pPr>
      <w:rPr>
        <w:rFonts w:ascii="Arial" w:eastAsia="標楷體" w:hAnsi="Arial" w:hint="default"/>
        <w:b w:val="0"/>
        <w:i w:val="0"/>
      </w:rPr>
    </w:lvl>
    <w:lvl w:ilvl="1">
      <w:start w:val="1"/>
      <w:numFmt w:val="taiwaneseCountingThousand"/>
      <w:lvlText w:val="(%2)."/>
      <w:lvlJc w:val="left"/>
      <w:pPr>
        <w:tabs>
          <w:tab w:val="num" w:pos="1047"/>
        </w:tabs>
        <w:ind w:left="1047" w:hanging="567"/>
      </w:pPr>
      <w:rPr>
        <w:rFonts w:ascii="Arial" w:eastAsia="標楷體" w:hAnsi="Arial" w:hint="default"/>
        <w:b w:val="0"/>
        <w:i w:val="0"/>
      </w:rPr>
    </w:lvl>
    <w:lvl w:ilvl="2">
      <w:start w:val="1"/>
      <w:numFmt w:val="decimal"/>
      <w:lvlText w:val="%3."/>
      <w:lvlJc w:val="left"/>
      <w:pPr>
        <w:tabs>
          <w:tab w:val="num" w:pos="1243"/>
        </w:tabs>
        <w:ind w:left="1243" w:hanging="283"/>
      </w:pPr>
      <w:rPr>
        <w:rFonts w:ascii="Arial" w:eastAsia="標楷體" w:hAnsi="Arial" w:hint="default"/>
        <w:b w:val="0"/>
        <w:i w:val="0"/>
        <w:sz w:val="24"/>
        <w:szCs w:val="24"/>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7A402A08"/>
    <w:multiLevelType w:val="singleLevel"/>
    <w:tmpl w:val="51BC2DAC"/>
    <w:lvl w:ilvl="0">
      <w:start w:val="1"/>
      <w:numFmt w:val="taiwaneseCountingThousand"/>
      <w:lvlText w:val="(%1)"/>
      <w:lvlJc w:val="left"/>
      <w:pPr>
        <w:tabs>
          <w:tab w:val="num" w:pos="1065"/>
        </w:tabs>
        <w:ind w:left="1065" w:hanging="465"/>
      </w:pPr>
      <w:rPr>
        <w:rFonts w:hint="eastAsia"/>
      </w:rPr>
    </w:lvl>
  </w:abstractNum>
  <w:num w:numId="1">
    <w:abstractNumId w:val="7"/>
  </w:num>
  <w:num w:numId="2">
    <w:abstractNumId w:val="14"/>
  </w:num>
  <w:num w:numId="3">
    <w:abstractNumId w:val="1"/>
  </w:num>
  <w:num w:numId="4">
    <w:abstractNumId w:val="2"/>
  </w:num>
  <w:num w:numId="5">
    <w:abstractNumId w:val="10"/>
  </w:num>
  <w:num w:numId="6">
    <w:abstractNumId w:val="11"/>
  </w:num>
  <w:num w:numId="7">
    <w:abstractNumId w:val="9"/>
  </w:num>
  <w:num w:numId="8">
    <w:abstractNumId w:val="24"/>
  </w:num>
  <w:num w:numId="9">
    <w:abstractNumId w:val="17"/>
  </w:num>
  <w:num w:numId="10">
    <w:abstractNumId w:val="12"/>
  </w:num>
  <w:num w:numId="11">
    <w:abstractNumId w:val="15"/>
  </w:num>
  <w:num w:numId="12">
    <w:abstractNumId w:val="23"/>
  </w:num>
  <w:num w:numId="13">
    <w:abstractNumId w:val="0"/>
  </w:num>
  <w:num w:numId="14">
    <w:abstractNumId w:val="13"/>
  </w:num>
  <w:num w:numId="15">
    <w:abstractNumId w:val="5"/>
  </w:num>
  <w:num w:numId="16">
    <w:abstractNumId w:val="16"/>
  </w:num>
  <w:num w:numId="17">
    <w:abstractNumId w:val="8"/>
  </w:num>
  <w:num w:numId="18">
    <w:abstractNumId w:val="4"/>
  </w:num>
  <w:num w:numId="19">
    <w:abstractNumId w:val="22"/>
  </w:num>
  <w:num w:numId="20">
    <w:abstractNumId w:val="6"/>
  </w:num>
  <w:num w:numId="21">
    <w:abstractNumId w:val="21"/>
  </w:num>
  <w:num w:numId="22">
    <w:abstractNumId w:val="20"/>
  </w:num>
  <w:num w:numId="23">
    <w:abstractNumId w:val="19"/>
  </w:num>
  <w:num w:numId="24">
    <w:abstractNumId w:val="25"/>
  </w:num>
  <w:num w:numId="25">
    <w:abstractNumId w:val="18"/>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B14"/>
    <w:rsid w:val="00002F32"/>
    <w:rsid w:val="0003400C"/>
    <w:rsid w:val="00136153"/>
    <w:rsid w:val="001A222A"/>
    <w:rsid w:val="001E706E"/>
    <w:rsid w:val="002B6FD8"/>
    <w:rsid w:val="00393D0D"/>
    <w:rsid w:val="00424678"/>
    <w:rsid w:val="004A0739"/>
    <w:rsid w:val="004B7B21"/>
    <w:rsid w:val="005F15E2"/>
    <w:rsid w:val="006012D0"/>
    <w:rsid w:val="0067064B"/>
    <w:rsid w:val="006823C8"/>
    <w:rsid w:val="006943DF"/>
    <w:rsid w:val="00713793"/>
    <w:rsid w:val="00713851"/>
    <w:rsid w:val="00771C87"/>
    <w:rsid w:val="007F3C15"/>
    <w:rsid w:val="00810AFA"/>
    <w:rsid w:val="00825C12"/>
    <w:rsid w:val="00846147"/>
    <w:rsid w:val="00880C76"/>
    <w:rsid w:val="008B0FFE"/>
    <w:rsid w:val="00996AFD"/>
    <w:rsid w:val="00A822C2"/>
    <w:rsid w:val="00B05A47"/>
    <w:rsid w:val="00B96601"/>
    <w:rsid w:val="00BF4EED"/>
    <w:rsid w:val="00CA32F3"/>
    <w:rsid w:val="00D00B14"/>
    <w:rsid w:val="00D76CD3"/>
    <w:rsid w:val="00D8214D"/>
    <w:rsid w:val="00DB4A91"/>
    <w:rsid w:val="00DF3F09"/>
    <w:rsid w:val="00E16CAC"/>
    <w:rsid w:val="00EB3897"/>
    <w:rsid w:val="00F16866"/>
    <w:rsid w:val="00F61576"/>
    <w:rsid w:val="00F648F9"/>
    <w:rsid w:val="00F92C54"/>
    <w:rsid w:val="00FA180F"/>
    <w:rsid w:val="00FD58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spacing w:line="500" w:lineRule="exact"/>
      <w:ind w:left="714" w:firstLine="14"/>
      <w:jc w:val="both"/>
    </w:pPr>
    <w:rPr>
      <w:rFonts w:ascii="標楷體" w:eastAsia="標楷體"/>
      <w:spacing w:val="24"/>
      <w:sz w:val="28"/>
    </w:rPr>
  </w:style>
  <w:style w:type="paragraph" w:styleId="2">
    <w:name w:val="Body Text Indent 2"/>
    <w:basedOn w:val="a"/>
    <w:pPr>
      <w:spacing w:line="500" w:lineRule="exact"/>
      <w:ind w:left="672" w:firstLine="14"/>
      <w:jc w:val="both"/>
    </w:pPr>
    <w:rPr>
      <w:rFonts w:ascii="標楷體" w:eastAsia="標楷體"/>
      <w:spacing w:val="24"/>
      <w:sz w:val="28"/>
    </w:rPr>
  </w:style>
  <w:style w:type="paragraph" w:styleId="3">
    <w:name w:val="Body Text Indent 3"/>
    <w:basedOn w:val="a"/>
    <w:pPr>
      <w:spacing w:line="500" w:lineRule="exact"/>
      <w:ind w:left="728"/>
      <w:jc w:val="both"/>
    </w:pPr>
    <w:rPr>
      <w:rFonts w:ascii="標楷體" w:eastAsia="標楷體"/>
      <w:spacing w:val="24"/>
      <w:sz w:val="28"/>
    </w:rPr>
  </w:style>
  <w:style w:type="paragraph" w:styleId="a4">
    <w:name w:val="header"/>
    <w:basedOn w:val="a"/>
    <w:pPr>
      <w:tabs>
        <w:tab w:val="center" w:pos="4153"/>
        <w:tab w:val="right" w:pos="8306"/>
      </w:tabs>
      <w:snapToGrid w:val="0"/>
    </w:pPr>
    <w:rPr>
      <w:sz w:val="20"/>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color w:val="333333"/>
      <w:szCs w:val="24"/>
    </w:rPr>
  </w:style>
  <w:style w:type="character" w:styleId="a7">
    <w:name w:val="Hyperlink"/>
    <w:rPr>
      <w:color w:val="003366"/>
      <w:u w:val="single"/>
    </w:rPr>
  </w:style>
  <w:style w:type="paragraph" w:styleId="a8">
    <w:name w:val="Balloon Text"/>
    <w:basedOn w:val="a"/>
    <w:semiHidden/>
    <w:rPr>
      <w:rFonts w:ascii="Arial" w:hAnsi="Arial"/>
      <w:sz w:val="18"/>
      <w:szCs w:val="18"/>
    </w:rPr>
  </w:style>
  <w:style w:type="paragraph" w:customStyle="1" w:styleId="a9">
    <w:name w:val=" 字元"/>
    <w:basedOn w:val="a"/>
    <w:pPr>
      <w:widowControl/>
      <w:adjustRightInd/>
      <w:spacing w:after="160" w:line="240" w:lineRule="exact"/>
      <w:textAlignment w:val="auto"/>
    </w:pPr>
    <w:rPr>
      <w:rFonts w:ascii="Arial" w:eastAsia="Times New Roman" w:hAnsi="Arial" w:cs="Arial"/>
      <w:sz w:val="20"/>
      <w:lang w:eastAsia="en-US"/>
    </w:rPr>
  </w:style>
  <w:style w:type="character" w:styleId="aa">
    <w:name w:val="Strong"/>
    <w:qFormat/>
    <w:rPr>
      <w:b/>
      <w:bCs/>
    </w:rPr>
  </w:style>
  <w:style w:type="character" w:styleId="ab">
    <w:name w:val="Emphasis"/>
    <w:qFormat/>
    <w:rPr>
      <w:i/>
      <w:iCs/>
    </w:rPr>
  </w:style>
  <w:style w:type="character" w:styleId="ac">
    <w:name w:val="FollowedHyperlink"/>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spacing w:line="500" w:lineRule="exact"/>
      <w:ind w:left="714" w:firstLine="14"/>
      <w:jc w:val="both"/>
    </w:pPr>
    <w:rPr>
      <w:rFonts w:ascii="標楷體" w:eastAsia="標楷體"/>
      <w:spacing w:val="24"/>
      <w:sz w:val="28"/>
    </w:rPr>
  </w:style>
  <w:style w:type="paragraph" w:styleId="2">
    <w:name w:val="Body Text Indent 2"/>
    <w:basedOn w:val="a"/>
    <w:pPr>
      <w:spacing w:line="500" w:lineRule="exact"/>
      <w:ind w:left="672" w:firstLine="14"/>
      <w:jc w:val="both"/>
    </w:pPr>
    <w:rPr>
      <w:rFonts w:ascii="標楷體" w:eastAsia="標楷體"/>
      <w:spacing w:val="24"/>
      <w:sz w:val="28"/>
    </w:rPr>
  </w:style>
  <w:style w:type="paragraph" w:styleId="3">
    <w:name w:val="Body Text Indent 3"/>
    <w:basedOn w:val="a"/>
    <w:pPr>
      <w:spacing w:line="500" w:lineRule="exact"/>
      <w:ind w:left="728"/>
      <w:jc w:val="both"/>
    </w:pPr>
    <w:rPr>
      <w:rFonts w:ascii="標楷體" w:eastAsia="標楷體"/>
      <w:spacing w:val="24"/>
      <w:sz w:val="28"/>
    </w:rPr>
  </w:style>
  <w:style w:type="paragraph" w:styleId="a4">
    <w:name w:val="header"/>
    <w:basedOn w:val="a"/>
    <w:pPr>
      <w:tabs>
        <w:tab w:val="center" w:pos="4153"/>
        <w:tab w:val="right" w:pos="8306"/>
      </w:tabs>
      <w:snapToGrid w:val="0"/>
    </w:pPr>
    <w:rPr>
      <w:sz w:val="20"/>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color w:val="333333"/>
      <w:szCs w:val="24"/>
    </w:rPr>
  </w:style>
  <w:style w:type="character" w:styleId="a7">
    <w:name w:val="Hyperlink"/>
    <w:rPr>
      <w:color w:val="003366"/>
      <w:u w:val="single"/>
    </w:rPr>
  </w:style>
  <w:style w:type="paragraph" w:styleId="a8">
    <w:name w:val="Balloon Text"/>
    <w:basedOn w:val="a"/>
    <w:semiHidden/>
    <w:rPr>
      <w:rFonts w:ascii="Arial" w:hAnsi="Arial"/>
      <w:sz w:val="18"/>
      <w:szCs w:val="18"/>
    </w:rPr>
  </w:style>
  <w:style w:type="paragraph" w:customStyle="1" w:styleId="a9">
    <w:name w:val=" 字元"/>
    <w:basedOn w:val="a"/>
    <w:pPr>
      <w:widowControl/>
      <w:adjustRightInd/>
      <w:spacing w:after="160" w:line="240" w:lineRule="exact"/>
      <w:textAlignment w:val="auto"/>
    </w:pPr>
    <w:rPr>
      <w:rFonts w:ascii="Arial" w:eastAsia="Times New Roman" w:hAnsi="Arial" w:cs="Arial"/>
      <w:sz w:val="20"/>
      <w:lang w:eastAsia="en-US"/>
    </w:rPr>
  </w:style>
  <w:style w:type="character" w:styleId="aa">
    <w:name w:val="Strong"/>
    <w:qFormat/>
    <w:rPr>
      <w:b/>
      <w:bCs/>
    </w:rPr>
  </w:style>
  <w:style w:type="character" w:styleId="ab">
    <w:name w:val="Emphasis"/>
    <w:qFormat/>
    <w:rPr>
      <w:i/>
      <w:iCs/>
    </w:rPr>
  </w:style>
  <w:style w:type="character" w:styleId="ac">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elaw.com.tw/Scripts/newsdetail.asp?no=G0100203"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757</Words>
  <Characters>4316</Characters>
  <Application>Microsoft Office Word</Application>
  <DocSecurity>0</DocSecurity>
  <Lines>35</Lines>
  <Paragraphs>10</Paragraphs>
  <ScaleCrop>false</ScaleCrop>
  <Company>b</Company>
  <LinksUpToDate>false</LinksUpToDate>
  <CharactersWithSpaces>5063</CharactersWithSpaces>
  <SharedDoc>false</SharedDoc>
  <HLinks>
    <vt:vector size="6" baseType="variant">
      <vt:variant>
        <vt:i4>7995509</vt:i4>
      </vt:variant>
      <vt:variant>
        <vt:i4>0</vt:i4>
      </vt:variant>
      <vt:variant>
        <vt:i4>0</vt:i4>
      </vt:variant>
      <vt:variant>
        <vt:i4>5</vt:i4>
      </vt:variant>
      <vt:variant>
        <vt:lpwstr>http://www.selaw.com.tw/Scripts/newsdetail.asp?no=G0100203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    則</dc:title>
  <dc:creator>95</dc:creator>
  <cp:lastModifiedBy>范加麟</cp:lastModifiedBy>
  <cp:revision>2</cp:revision>
  <cp:lastPrinted>2012-09-10T08:25:00Z</cp:lastPrinted>
  <dcterms:created xsi:type="dcterms:W3CDTF">2019-10-17T10:21:00Z</dcterms:created>
  <dcterms:modified xsi:type="dcterms:W3CDTF">2019-10-17T10:21:00Z</dcterms:modified>
</cp:coreProperties>
</file>