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3510"/>
        <w:gridCol w:w="3544"/>
        <w:gridCol w:w="2693"/>
      </w:tblGrid>
      <w:tr w:rsidR="00F5213A" w:rsidRPr="00F5213A" w:rsidTr="007546A4">
        <w:trPr>
          <w:tblHeader/>
        </w:trPr>
        <w:tc>
          <w:tcPr>
            <w:tcW w:w="3510" w:type="dxa"/>
            <w:vAlign w:val="center"/>
          </w:tcPr>
          <w:p w:rsidR="00C41107" w:rsidRPr="00F5213A" w:rsidRDefault="007546A4" w:rsidP="007546A4">
            <w:pPr>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修</w:t>
            </w:r>
            <w:r w:rsidR="00C41107" w:rsidRPr="00F5213A">
              <w:rPr>
                <w:rFonts w:ascii="標楷體" w:eastAsia="標楷體" w:hAnsi="標楷體" w:hint="eastAsia"/>
                <w:color w:val="000000" w:themeColor="text1"/>
              </w:rPr>
              <w:t>訂</w:t>
            </w:r>
            <w:r>
              <w:rPr>
                <w:rFonts w:ascii="標楷體" w:eastAsia="標楷體" w:hAnsi="標楷體" w:hint="eastAsia"/>
                <w:color w:val="000000" w:themeColor="text1"/>
              </w:rPr>
              <w:t>條文</w:t>
            </w:r>
            <w:bookmarkStart w:id="0" w:name="_GoBack"/>
            <w:bookmarkEnd w:id="0"/>
          </w:p>
        </w:tc>
        <w:tc>
          <w:tcPr>
            <w:tcW w:w="3544" w:type="dxa"/>
          </w:tcPr>
          <w:p w:rsidR="00C41107" w:rsidRPr="00F5213A" w:rsidRDefault="007546A4" w:rsidP="007546A4">
            <w:pPr>
              <w:spacing w:line="400" w:lineRule="exact"/>
              <w:jc w:val="center"/>
              <w:rPr>
                <w:rFonts w:ascii="標楷體" w:eastAsia="標楷體" w:hAnsi="標楷體"/>
                <w:color w:val="000000" w:themeColor="text1"/>
              </w:rPr>
            </w:pPr>
            <w:r>
              <w:rPr>
                <w:rFonts w:ascii="標楷體" w:eastAsia="標楷體" w:hAnsi="標楷體" w:hint="eastAsia"/>
                <w:color w:val="000000" w:themeColor="text1"/>
              </w:rPr>
              <w:t>原條文</w:t>
            </w:r>
          </w:p>
        </w:tc>
        <w:tc>
          <w:tcPr>
            <w:tcW w:w="2693" w:type="dxa"/>
          </w:tcPr>
          <w:p w:rsidR="00C41107" w:rsidRPr="00F5213A" w:rsidRDefault="00C41107" w:rsidP="007546A4">
            <w:pPr>
              <w:spacing w:line="400" w:lineRule="exact"/>
              <w:jc w:val="center"/>
              <w:rPr>
                <w:rFonts w:ascii="標楷體" w:eastAsia="標楷體" w:hAnsi="標楷體"/>
                <w:color w:val="000000" w:themeColor="text1"/>
              </w:rPr>
            </w:pPr>
            <w:r w:rsidRPr="00F5213A">
              <w:rPr>
                <w:rFonts w:ascii="標楷體" w:eastAsia="標楷體" w:hAnsi="標楷體" w:hint="eastAsia"/>
                <w:color w:val="000000" w:themeColor="text1"/>
              </w:rPr>
              <w:t>說明</w:t>
            </w:r>
          </w:p>
        </w:tc>
      </w:tr>
      <w:tr w:rsidR="00F5213A" w:rsidRPr="00F5213A" w:rsidTr="007546A4">
        <w:tc>
          <w:tcPr>
            <w:tcW w:w="3510"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第一條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本規則依據期貨業商業同業公會管理規則第五條規定訂定之。</w:t>
            </w:r>
          </w:p>
        </w:tc>
        <w:tc>
          <w:tcPr>
            <w:tcW w:w="3544"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第一條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本規則依據期貨業商業同業公會管理規則第五條規定訂定之。</w:t>
            </w:r>
          </w:p>
        </w:tc>
        <w:tc>
          <w:tcPr>
            <w:tcW w:w="2693"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本條未修正。</w:t>
            </w:r>
          </w:p>
        </w:tc>
      </w:tr>
      <w:tr w:rsidR="00F5213A" w:rsidRPr="00F5213A" w:rsidTr="007546A4">
        <w:tc>
          <w:tcPr>
            <w:tcW w:w="3510"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第二條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本公會會員受託從事臺灣期貨交易所</w:t>
            </w:r>
            <w:r w:rsidRPr="00F5213A">
              <w:rPr>
                <w:rFonts w:ascii="標楷體" w:eastAsia="標楷體" w:hAnsi="標楷體"/>
                <w:color w:val="000000" w:themeColor="text1"/>
              </w:rPr>
              <w:t>(</w:t>
            </w:r>
            <w:r w:rsidRPr="00F5213A">
              <w:rPr>
                <w:rFonts w:ascii="標楷體" w:eastAsia="標楷體" w:hAnsi="標楷體" w:hint="eastAsia"/>
                <w:color w:val="000000" w:themeColor="text1"/>
              </w:rPr>
              <w:t>以下簡稱期交所</w:t>
            </w:r>
            <w:r w:rsidRPr="00F5213A">
              <w:rPr>
                <w:rFonts w:ascii="標楷體" w:eastAsia="標楷體" w:hAnsi="標楷體"/>
                <w:color w:val="000000" w:themeColor="text1"/>
              </w:rPr>
              <w:t>)</w:t>
            </w:r>
            <w:r w:rsidRPr="00F5213A">
              <w:rPr>
                <w:rFonts w:ascii="標楷體" w:eastAsia="標楷體" w:hAnsi="標楷體" w:hint="eastAsia"/>
                <w:color w:val="000000" w:themeColor="text1"/>
              </w:rPr>
              <w:t>期貨契約當日沖銷交易（以下簡稱當沖交易）之管理，除其他法令規章另有規定者外，應依本規則之規定辦理。</w:t>
            </w:r>
          </w:p>
        </w:tc>
        <w:tc>
          <w:tcPr>
            <w:tcW w:w="3544"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第二條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本公會會員受託從事臺灣期貨交易所（以下簡稱期交所）期貨契約當日沖銷交易（以下簡稱當沖交易）之管理，除其他法令規章另有規定者外，應依本規則之規定辦理。</w:t>
            </w:r>
          </w:p>
        </w:tc>
        <w:tc>
          <w:tcPr>
            <w:tcW w:w="2693"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本條未修正。</w:t>
            </w:r>
          </w:p>
        </w:tc>
      </w:tr>
      <w:tr w:rsidR="00F5213A" w:rsidRPr="00F5213A" w:rsidTr="007546A4">
        <w:tc>
          <w:tcPr>
            <w:tcW w:w="3510"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第三條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本公會會員受託從事期交所當沖交易前，應對期貨交易人</w:t>
            </w:r>
            <w:r w:rsidRPr="00F5213A">
              <w:rPr>
                <w:rFonts w:ascii="標楷體" w:eastAsia="標楷體" w:hAnsi="標楷體"/>
                <w:color w:val="000000" w:themeColor="text1"/>
              </w:rPr>
              <w:t>(</w:t>
            </w:r>
            <w:r w:rsidRPr="00F5213A">
              <w:rPr>
                <w:rFonts w:ascii="標楷體" w:eastAsia="標楷體" w:hAnsi="標楷體" w:hint="eastAsia"/>
                <w:color w:val="000000" w:themeColor="text1"/>
              </w:rPr>
              <w:t>以下簡稱交易人</w:t>
            </w:r>
            <w:r w:rsidRPr="00F5213A">
              <w:rPr>
                <w:rFonts w:ascii="標楷體" w:eastAsia="標楷體" w:hAnsi="標楷體"/>
                <w:color w:val="000000" w:themeColor="text1"/>
              </w:rPr>
              <w:t>)</w:t>
            </w:r>
            <w:r w:rsidRPr="00F5213A">
              <w:rPr>
                <w:rFonts w:ascii="標楷體" w:eastAsia="標楷體" w:hAnsi="標楷體" w:hint="eastAsia"/>
                <w:color w:val="000000" w:themeColor="text1"/>
              </w:rPr>
              <w:t>審查其資格條件，交易人應具備之資格條件如下：</w:t>
            </w:r>
            <w:r w:rsidRPr="00F5213A">
              <w:rPr>
                <w:rFonts w:ascii="標楷體" w:eastAsia="標楷體" w:hAnsi="標楷體"/>
                <w:color w:val="000000" w:themeColor="text1"/>
              </w:rPr>
              <w:t xml:space="preserve"> </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一、開立期貨受託契約滿三個月。</w:t>
            </w:r>
            <w:r w:rsidRPr="00F5213A">
              <w:rPr>
                <w:rFonts w:ascii="標楷體" w:eastAsia="標楷體" w:hAnsi="標楷體"/>
                <w:color w:val="000000" w:themeColor="text1"/>
              </w:rPr>
              <w:t xml:space="preserve"> </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二、最近</w:t>
            </w:r>
            <w:proofErr w:type="gramStart"/>
            <w:r w:rsidRPr="00F5213A">
              <w:rPr>
                <w:rFonts w:ascii="標楷體" w:eastAsia="標楷體" w:hAnsi="標楷體" w:hint="eastAsia"/>
                <w:color w:val="000000" w:themeColor="text1"/>
              </w:rPr>
              <w:t>一</w:t>
            </w:r>
            <w:proofErr w:type="gramEnd"/>
            <w:r w:rsidRPr="00F5213A">
              <w:rPr>
                <w:rFonts w:ascii="標楷體" w:eastAsia="標楷體" w:hAnsi="標楷體" w:hint="eastAsia"/>
                <w:color w:val="000000" w:themeColor="text1"/>
              </w:rPr>
              <w:t>年內期貨契約交易成交十筆以上，開立期貨受託契約未滿一年者亦同。</w:t>
            </w:r>
            <w:r w:rsidRPr="00F5213A">
              <w:rPr>
                <w:rFonts w:ascii="標楷體" w:eastAsia="標楷體" w:hAnsi="標楷體"/>
                <w:color w:val="000000" w:themeColor="text1"/>
              </w:rPr>
              <w:t xml:space="preserve"> </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三、除未沖銷部位所需保證金外，另應提供最近一年之財力證明，其價值總金額應不低於從事當日沖銷交易所需保證金額度之百分之三十，但申請適用於當沖交易之所需保證金額度未逾新台幣五十萬元者，不適用本款之規定。</w:t>
            </w:r>
          </w:p>
        </w:tc>
        <w:tc>
          <w:tcPr>
            <w:tcW w:w="3544"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第三條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本公會會員受託從事期交所當沖交易前，應對期貨交易人（以下簡稱交易人）審查其資格條件，交易人應具備之資格條件如下：</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一、開立期貨受託契約滿三個月。</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二、最近</w:t>
            </w:r>
            <w:proofErr w:type="gramStart"/>
            <w:r w:rsidRPr="00F5213A">
              <w:rPr>
                <w:rFonts w:ascii="標楷體" w:eastAsia="標楷體" w:hAnsi="標楷體" w:hint="eastAsia"/>
                <w:color w:val="000000" w:themeColor="text1"/>
              </w:rPr>
              <w:t>一</w:t>
            </w:r>
            <w:proofErr w:type="gramEnd"/>
            <w:r w:rsidRPr="00F5213A">
              <w:rPr>
                <w:rFonts w:ascii="標楷體" w:eastAsia="標楷體" w:hAnsi="標楷體" w:hint="eastAsia"/>
                <w:color w:val="000000" w:themeColor="text1"/>
              </w:rPr>
              <w:t>年內期貨契約交易成交十筆以上，開立期貨受託契約未滿一年者亦同。</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三、除未沖銷部位所需保證金外，另應提供最近一年之財力證明，其價值總金額應不低於從事當日沖銷交易所需保證金額度之百分之三十，但申請適用於當沖交易之所需保證金額度未逾新台幣五十萬元者，不適用本款之規定。</w:t>
            </w:r>
          </w:p>
        </w:tc>
        <w:tc>
          <w:tcPr>
            <w:tcW w:w="2693"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本條未修正。</w:t>
            </w:r>
          </w:p>
        </w:tc>
      </w:tr>
      <w:tr w:rsidR="00F5213A" w:rsidRPr="00F5213A" w:rsidTr="007546A4">
        <w:tc>
          <w:tcPr>
            <w:tcW w:w="3510" w:type="dxa"/>
          </w:tcPr>
          <w:p w:rsidR="00C41107" w:rsidRPr="00F5213A" w:rsidRDefault="00C41107" w:rsidP="007546A4">
            <w:pPr>
              <w:spacing w:line="400" w:lineRule="exact"/>
              <w:rPr>
                <w:rFonts w:ascii="標楷體" w:eastAsia="標楷體" w:hAnsi="標楷體"/>
                <w:color w:val="000000" w:themeColor="text1"/>
                <w:shd w:val="pct15" w:color="auto" w:fill="FFFFFF"/>
              </w:rPr>
            </w:pPr>
            <w:r w:rsidRPr="00F5213A">
              <w:rPr>
                <w:rFonts w:ascii="標楷體" w:eastAsia="標楷體" w:hAnsi="標楷體" w:hint="eastAsia"/>
                <w:color w:val="000000" w:themeColor="text1"/>
              </w:rPr>
              <w:t>第四條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本公會會員受託從事當沖交易</w:t>
            </w:r>
            <w:r w:rsidRPr="00F5213A">
              <w:rPr>
                <w:rFonts w:ascii="標楷體" w:eastAsia="標楷體" w:hAnsi="標楷體" w:hint="eastAsia"/>
                <w:color w:val="000000" w:themeColor="text1"/>
              </w:rPr>
              <w:lastRenderedPageBreak/>
              <w:t>前，應先對交易人說明與預告當沖交易之各項權利義務、交易規則及相關風險，並應製作當日沖銷風險預告書（範本詳參附件</w:t>
            </w:r>
            <w:r w:rsidRPr="00F5213A">
              <w:rPr>
                <w:rFonts w:ascii="標楷體" w:eastAsia="標楷體" w:hAnsi="標楷體"/>
                <w:color w:val="000000" w:themeColor="text1"/>
              </w:rPr>
              <w:t>1</w:t>
            </w:r>
            <w:r w:rsidRPr="00F5213A">
              <w:rPr>
                <w:rFonts w:ascii="標楷體" w:eastAsia="標楷體" w:hAnsi="標楷體" w:hint="eastAsia"/>
                <w:color w:val="000000" w:themeColor="text1"/>
              </w:rPr>
              <w:t>），提供交易人簽名或蓋章</w:t>
            </w:r>
            <w:r w:rsidRPr="00F5213A">
              <w:rPr>
                <w:rFonts w:ascii="標楷體" w:eastAsia="標楷體" w:hAnsi="標楷體" w:hint="eastAsia"/>
                <w:color w:val="000000" w:themeColor="text1"/>
                <w:u w:val="single"/>
              </w:rPr>
              <w:t>，</w:t>
            </w:r>
            <w:r w:rsidRPr="00F5213A">
              <w:rPr>
                <w:rFonts w:ascii="標楷體" w:eastAsia="標楷體" w:hAnsi="標楷體" w:hint="eastAsia"/>
                <w:color w:val="000000" w:themeColor="text1"/>
              </w:rPr>
              <w:t>並加</w:t>
            </w:r>
            <w:proofErr w:type="gramStart"/>
            <w:r w:rsidRPr="00F5213A">
              <w:rPr>
                <w:rFonts w:ascii="標楷體" w:eastAsia="標楷體" w:hAnsi="標楷體" w:hint="eastAsia"/>
                <w:color w:val="000000" w:themeColor="text1"/>
              </w:rPr>
              <w:t>註</w:t>
            </w:r>
            <w:proofErr w:type="gramEnd"/>
            <w:r w:rsidRPr="00F5213A">
              <w:rPr>
                <w:rFonts w:ascii="標楷體" w:eastAsia="標楷體" w:hAnsi="標楷體" w:hint="eastAsia"/>
                <w:color w:val="000000" w:themeColor="text1"/>
              </w:rPr>
              <w:t>日期存執。</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交易人得使用憑證機構所簽發之電子簽章或自行以書面方式簽署國內當日沖銷交易風險預告同意書。惟對已填具委任授權書之交易人，本公會會員得依據公司管理政策，審慎評估後，自行決定開放或禁止其使用電子簽章辦理，如</w:t>
            </w:r>
            <w:proofErr w:type="gramStart"/>
            <w:r w:rsidRPr="00F5213A">
              <w:rPr>
                <w:rFonts w:ascii="標楷體" w:eastAsia="標楷體" w:hAnsi="標楷體" w:hint="eastAsia"/>
                <w:color w:val="000000" w:themeColor="text1"/>
              </w:rPr>
              <w:t>採</w:t>
            </w:r>
            <w:proofErr w:type="gramEnd"/>
            <w:r w:rsidRPr="00F5213A">
              <w:rPr>
                <w:rFonts w:ascii="標楷體" w:eastAsia="標楷體" w:hAnsi="標楷體" w:hint="eastAsia"/>
                <w:color w:val="000000" w:themeColor="text1"/>
              </w:rPr>
              <w:t>開放政策，應於公司內部控制制度訂定適當之控管機制及查核程序。</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本公會會員接受交易人</w:t>
            </w:r>
            <w:proofErr w:type="gramStart"/>
            <w:r w:rsidRPr="00F5213A">
              <w:rPr>
                <w:rFonts w:ascii="標楷體" w:eastAsia="標楷體" w:hAnsi="標楷體" w:hint="eastAsia"/>
                <w:color w:val="000000" w:themeColor="text1"/>
              </w:rPr>
              <w:t>以線上申請</w:t>
            </w:r>
            <w:proofErr w:type="gramEnd"/>
            <w:r w:rsidRPr="00F5213A">
              <w:rPr>
                <w:rFonts w:ascii="標楷體" w:eastAsia="標楷體" w:hAnsi="標楷體" w:hint="eastAsia"/>
                <w:color w:val="000000" w:themeColor="text1"/>
              </w:rPr>
              <w:t>當沖交易，應於網頁</w:t>
            </w:r>
            <w:proofErr w:type="gramStart"/>
            <w:r w:rsidRPr="00F5213A">
              <w:rPr>
                <w:rFonts w:ascii="標楷體" w:eastAsia="標楷體" w:hAnsi="標楷體" w:hint="eastAsia"/>
                <w:color w:val="000000" w:themeColor="text1"/>
              </w:rPr>
              <w:t>提供含當沖</w:t>
            </w:r>
            <w:proofErr w:type="gramEnd"/>
            <w:r w:rsidRPr="00F5213A">
              <w:rPr>
                <w:rFonts w:ascii="標楷體" w:eastAsia="標楷體" w:hAnsi="標楷體" w:hint="eastAsia"/>
                <w:color w:val="000000" w:themeColor="text1"/>
              </w:rPr>
              <w:t>交易之各項權利義務、交易規則及相關風險之當日沖銷風險預告書予交易人審閱，其簽署程序如下：</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一、當日沖銷風險預告書之內容需逐條（段）勾選。</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二、點選進入當日沖銷風險預告書內容後至同意簽署確認前，其畫面停留之時間以可以適當閱讀該當日沖銷風險預告書之完整內容為依據。</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三、交易人確認以電子簽章簽署後，</w:t>
            </w:r>
            <w:r w:rsidRPr="00F5213A">
              <w:rPr>
                <w:rFonts w:ascii="標楷體" w:eastAsia="標楷體" w:hAnsi="標楷體" w:hint="eastAsia"/>
                <w:color w:val="000000" w:themeColor="text1"/>
                <w:u w:val="single"/>
              </w:rPr>
              <w:t>本公會會員</w:t>
            </w:r>
            <w:r w:rsidRPr="00F5213A">
              <w:rPr>
                <w:rFonts w:ascii="標楷體" w:eastAsia="標楷體" w:hAnsi="標楷體" w:hint="eastAsia"/>
                <w:color w:val="000000" w:themeColor="text1"/>
              </w:rPr>
              <w:t>可以電子郵件、網址、簡訊等方式傳送</w:t>
            </w:r>
            <w:r w:rsidRPr="00F5213A">
              <w:rPr>
                <w:rFonts w:ascii="標楷體" w:eastAsia="標楷體" w:hAnsi="標楷體" w:hint="eastAsia"/>
                <w:color w:val="000000" w:themeColor="text1"/>
              </w:rPr>
              <w:lastRenderedPageBreak/>
              <w:t>當日沖銷風險預告書副本予交易人，交易人應以同方式確認回傳後始生效。</w:t>
            </w:r>
          </w:p>
        </w:tc>
        <w:tc>
          <w:tcPr>
            <w:tcW w:w="3544"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lastRenderedPageBreak/>
              <w:t>第四條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本公會會員受託從事當沖交易</w:t>
            </w:r>
            <w:r w:rsidRPr="00F5213A">
              <w:rPr>
                <w:rFonts w:ascii="標楷體" w:eastAsia="標楷體" w:hAnsi="標楷體" w:hint="eastAsia"/>
                <w:color w:val="000000" w:themeColor="text1"/>
              </w:rPr>
              <w:lastRenderedPageBreak/>
              <w:t>前，應先對交易人說明與預告當沖交易之各項權利義務、交易規則及相關風險，並應製作當日沖銷風險預告書（範本詳參附件一），提供交易人簽名或蓋章並加</w:t>
            </w:r>
            <w:proofErr w:type="gramStart"/>
            <w:r w:rsidRPr="00F5213A">
              <w:rPr>
                <w:rFonts w:ascii="標楷體" w:eastAsia="標楷體" w:hAnsi="標楷體" w:hint="eastAsia"/>
                <w:color w:val="000000" w:themeColor="text1"/>
              </w:rPr>
              <w:t>註</w:t>
            </w:r>
            <w:proofErr w:type="gramEnd"/>
            <w:r w:rsidRPr="00F5213A">
              <w:rPr>
                <w:rFonts w:ascii="標楷體" w:eastAsia="標楷體" w:hAnsi="標楷體" w:hint="eastAsia"/>
                <w:color w:val="000000" w:themeColor="text1"/>
              </w:rPr>
              <w:t>日期存執。</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u w:val="single"/>
              </w:rPr>
              <w:t>期貨</w:t>
            </w:r>
            <w:r w:rsidRPr="00F5213A">
              <w:rPr>
                <w:rFonts w:ascii="標楷體" w:eastAsia="標楷體" w:hAnsi="標楷體" w:hint="eastAsia"/>
                <w:color w:val="000000" w:themeColor="text1"/>
              </w:rPr>
              <w:t>交易人得使用憑證機構所簽發之電子簽章或自行以書面方式簽署國內當日沖銷交易風險預告同意書。惟對已填具委任授權書之交易人，本公會會員得依據公司管理政策，審慎評估後，自行決定開放或禁止其使用電子簽章辦理，如</w:t>
            </w:r>
            <w:proofErr w:type="gramStart"/>
            <w:r w:rsidRPr="00F5213A">
              <w:rPr>
                <w:rFonts w:ascii="標楷體" w:eastAsia="標楷體" w:hAnsi="標楷體" w:hint="eastAsia"/>
                <w:color w:val="000000" w:themeColor="text1"/>
              </w:rPr>
              <w:t>採</w:t>
            </w:r>
            <w:proofErr w:type="gramEnd"/>
            <w:r w:rsidRPr="00F5213A">
              <w:rPr>
                <w:rFonts w:ascii="標楷體" w:eastAsia="標楷體" w:hAnsi="標楷體" w:hint="eastAsia"/>
                <w:color w:val="000000" w:themeColor="text1"/>
              </w:rPr>
              <w:t>開放政策，應於公司內部控制制度訂定適當之控管機制及查核程序。</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本公會會員接受交易人</w:t>
            </w:r>
            <w:proofErr w:type="gramStart"/>
            <w:r w:rsidRPr="00F5213A">
              <w:rPr>
                <w:rFonts w:ascii="標楷體" w:eastAsia="標楷體" w:hAnsi="標楷體" w:hint="eastAsia"/>
                <w:color w:val="000000" w:themeColor="text1"/>
              </w:rPr>
              <w:t>以線上申請</w:t>
            </w:r>
            <w:proofErr w:type="gramEnd"/>
            <w:r w:rsidRPr="00F5213A">
              <w:rPr>
                <w:rFonts w:ascii="標楷體" w:eastAsia="標楷體" w:hAnsi="標楷體" w:hint="eastAsia"/>
                <w:color w:val="000000" w:themeColor="text1"/>
              </w:rPr>
              <w:t>當沖交易，應於網頁</w:t>
            </w:r>
            <w:proofErr w:type="gramStart"/>
            <w:r w:rsidRPr="00F5213A">
              <w:rPr>
                <w:rFonts w:ascii="標楷體" w:eastAsia="標楷體" w:hAnsi="標楷體" w:hint="eastAsia"/>
                <w:color w:val="000000" w:themeColor="text1"/>
              </w:rPr>
              <w:t>提供含當沖</w:t>
            </w:r>
            <w:proofErr w:type="gramEnd"/>
            <w:r w:rsidRPr="00F5213A">
              <w:rPr>
                <w:rFonts w:ascii="標楷體" w:eastAsia="標楷體" w:hAnsi="標楷體" w:hint="eastAsia"/>
                <w:color w:val="000000" w:themeColor="text1"/>
              </w:rPr>
              <w:t>交易之各項權利義務、交易規則及相關風險之當日沖銷風險預告書予交易人審閱，其簽署程序如下：</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一、當日沖銷風險預告書之內容需逐條（段）勾選。</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二、點選進入當日沖銷風險預告書內容後至同意簽署確認前，其畫面停留之時間以可以適當閱讀該當日沖銷風險預告書之完整內容為依據。</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三、交易人確認以電子簽章簽署後，</w:t>
            </w:r>
            <w:r w:rsidRPr="00F5213A">
              <w:rPr>
                <w:rFonts w:ascii="標楷體" w:eastAsia="標楷體" w:hAnsi="標楷體" w:hint="eastAsia"/>
                <w:color w:val="000000" w:themeColor="text1"/>
                <w:u w:val="single"/>
              </w:rPr>
              <w:t>期貨商及IB</w:t>
            </w:r>
            <w:r w:rsidRPr="00F5213A">
              <w:rPr>
                <w:rFonts w:ascii="標楷體" w:eastAsia="標楷體" w:hAnsi="標楷體" w:hint="eastAsia"/>
                <w:color w:val="000000" w:themeColor="text1"/>
              </w:rPr>
              <w:t>可以電子郵件、網址、簡訊等方式傳送</w:t>
            </w:r>
            <w:r w:rsidRPr="00F5213A">
              <w:rPr>
                <w:rFonts w:ascii="標楷體" w:eastAsia="標楷體" w:hAnsi="標楷體" w:hint="eastAsia"/>
                <w:color w:val="000000" w:themeColor="text1"/>
              </w:rPr>
              <w:lastRenderedPageBreak/>
              <w:t>當日沖銷風險預告書副本予交易人，交易人應以同方式確認回傳後始生效。</w:t>
            </w:r>
          </w:p>
        </w:tc>
        <w:tc>
          <w:tcPr>
            <w:tcW w:w="2693" w:type="dxa"/>
          </w:tcPr>
          <w:p w:rsidR="00C41107" w:rsidRPr="00F5213A" w:rsidRDefault="00C41107" w:rsidP="007546A4">
            <w:pPr>
              <w:spacing w:line="400" w:lineRule="exact"/>
              <w:rPr>
                <w:rFonts w:ascii="標楷體" w:eastAsia="標楷體" w:hAnsi="標楷體"/>
                <w:color w:val="000000" w:themeColor="text1"/>
              </w:rPr>
            </w:pPr>
            <w:proofErr w:type="gramStart"/>
            <w:r w:rsidRPr="00F5213A">
              <w:rPr>
                <w:rFonts w:ascii="標楷體" w:eastAsia="標楷體" w:hAnsi="標楷體" w:hint="eastAsia"/>
                <w:color w:val="000000" w:themeColor="text1"/>
              </w:rPr>
              <w:lastRenderedPageBreak/>
              <w:t>酌修部分</w:t>
            </w:r>
            <w:proofErr w:type="gramEnd"/>
            <w:r w:rsidRPr="00F5213A">
              <w:rPr>
                <w:rFonts w:ascii="標楷體" w:eastAsia="標楷體" w:hAnsi="標楷體" w:hint="eastAsia"/>
                <w:color w:val="000000" w:themeColor="text1"/>
              </w:rPr>
              <w:t>文字。</w:t>
            </w:r>
          </w:p>
        </w:tc>
      </w:tr>
      <w:tr w:rsidR="00F5213A" w:rsidRPr="00F5213A" w:rsidTr="007546A4">
        <w:tc>
          <w:tcPr>
            <w:tcW w:w="3510"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lastRenderedPageBreak/>
              <w:t>第五條</w:t>
            </w:r>
          </w:p>
          <w:p w:rsidR="00C41107" w:rsidRPr="00F5213A" w:rsidRDefault="00C41107" w:rsidP="007546A4">
            <w:pPr>
              <w:autoSpaceDE w:val="0"/>
              <w:autoSpaceDN w:val="0"/>
              <w:adjustRightInd w:val="0"/>
              <w:spacing w:line="400" w:lineRule="exact"/>
              <w:jc w:val="both"/>
              <w:rPr>
                <w:rFonts w:ascii="標楷體" w:eastAsia="標楷體" w:hAnsi="標楷體" w:cs="Times New Roman"/>
                <w:color w:val="000000" w:themeColor="text1"/>
                <w:szCs w:val="24"/>
                <w:u w:val="single"/>
              </w:rPr>
            </w:pPr>
            <w:r w:rsidRPr="00F5213A">
              <w:rPr>
                <w:rFonts w:ascii="標楷體" w:eastAsia="標楷體" w:hAnsi="標楷體" w:cs="Times New Roman" w:hint="eastAsia"/>
                <w:color w:val="000000" w:themeColor="text1"/>
                <w:szCs w:val="24"/>
                <w:u w:val="single"/>
              </w:rPr>
              <w:t>期交所公告之期貨契約當沖交易保證金計收標準適用於一般交易時段，盤後交易時段不適用。</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cs="Times New Roman" w:hint="eastAsia"/>
                <w:color w:val="000000" w:themeColor="text1"/>
                <w:szCs w:val="24"/>
              </w:rPr>
              <w:t>本公會會員受託從事當沖交易時，應依期交所公告之當沖交易保證金計收標準向交易人收足保證金，始得接受交易人之委託。</w:t>
            </w:r>
          </w:p>
        </w:tc>
        <w:tc>
          <w:tcPr>
            <w:tcW w:w="3544"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第五條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本公會會員受託從事當沖交易時，應依期交所公告之當沖交易保證金計收標準向交易人收足保證金，始得接受交易人之委託。</w:t>
            </w:r>
          </w:p>
        </w:tc>
        <w:tc>
          <w:tcPr>
            <w:tcW w:w="2693" w:type="dxa"/>
          </w:tcPr>
          <w:p w:rsidR="00C41107" w:rsidRPr="00F5213A" w:rsidRDefault="0071001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配合臺灣期貨交易所推出期貨市場盤後交易，增訂有關期交所公告之期貨契約當沖交易保證金計收標準適用於一般交易時段，盤後交易時段不適用。</w:t>
            </w:r>
          </w:p>
        </w:tc>
      </w:tr>
      <w:tr w:rsidR="00F5213A" w:rsidRPr="00F5213A" w:rsidTr="007546A4">
        <w:tc>
          <w:tcPr>
            <w:tcW w:w="3510"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第六條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本公會會員應於</w:t>
            </w:r>
            <w:r w:rsidRPr="00F5213A">
              <w:rPr>
                <w:rFonts w:ascii="標楷體" w:eastAsia="標楷體" w:hAnsi="標楷體" w:hint="eastAsia"/>
                <w:color w:val="000000" w:themeColor="text1"/>
                <w:u w:val="single"/>
              </w:rPr>
              <w:t>一般交易時段</w:t>
            </w:r>
            <w:r w:rsidRPr="00F5213A">
              <w:rPr>
                <w:rFonts w:ascii="標楷體" w:eastAsia="標楷體" w:hAnsi="標楷體" w:hint="eastAsia"/>
                <w:color w:val="000000" w:themeColor="text1"/>
              </w:rPr>
              <w:t>當沖交易之委託成交後，就當沖交易部位及一般交易部位分別依期交所公告之當沖交易及一般交易保證金計收標準計算，對交易人進行整戶盤中風險控管，當交易人帳戶權益數低於未沖銷部位所需維持保證金時，應對該交易人發出高風險帳戶通知。</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w:t>
            </w:r>
            <w:r w:rsidRPr="00F5213A">
              <w:rPr>
                <w:rFonts w:ascii="標楷體" w:eastAsia="標楷體" w:hAnsi="標楷體" w:hint="eastAsia"/>
                <w:color w:val="000000" w:themeColor="text1"/>
                <w:u w:val="single"/>
              </w:rPr>
              <w:t>於一般交易時段</w:t>
            </w:r>
            <w:r w:rsidRPr="00F5213A">
              <w:rPr>
                <w:rFonts w:ascii="標楷體" w:eastAsia="標楷體" w:hAnsi="標楷體" w:hint="eastAsia"/>
                <w:color w:val="000000" w:themeColor="text1"/>
              </w:rPr>
              <w:t>另</w:t>
            </w:r>
            <w:proofErr w:type="gramStart"/>
            <w:r w:rsidRPr="00F5213A">
              <w:rPr>
                <w:rFonts w:ascii="標楷體" w:eastAsia="標楷體" w:hAnsi="標楷體" w:hint="eastAsia"/>
                <w:color w:val="000000" w:themeColor="text1"/>
              </w:rPr>
              <w:t>應依整戶</w:t>
            </w:r>
            <w:proofErr w:type="gramEnd"/>
            <w:r w:rsidRPr="00F5213A">
              <w:rPr>
                <w:rFonts w:ascii="標楷體" w:eastAsia="標楷體" w:hAnsi="標楷體" w:hint="eastAsia"/>
                <w:color w:val="000000" w:themeColor="text1"/>
              </w:rPr>
              <w:t>風險管理原則，以一般交易所需原始保證金計算交易人帳戶風險指標，當風險指標低於約定之比率時，應開始執行代為沖銷作業程序。</w:t>
            </w:r>
          </w:p>
        </w:tc>
        <w:tc>
          <w:tcPr>
            <w:tcW w:w="3544"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第六條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應於當沖交易之委託成交後，就當沖交易部位及一般交易部位分別依期交所公告之當沖交易及一般交易保證金計收標準計算，對交易人進行整戶盤中風險控管，當交易人帳戶權益數低於未沖銷部位所需維持保證金時，應對該交易人發出</w:t>
            </w:r>
            <w:r w:rsidRPr="00F5213A">
              <w:rPr>
                <w:rFonts w:ascii="標楷體" w:eastAsia="標楷體" w:hAnsi="標楷體" w:hint="eastAsia"/>
                <w:color w:val="000000" w:themeColor="text1"/>
                <w:u w:val="single"/>
              </w:rPr>
              <w:t>盤中</w:t>
            </w:r>
            <w:r w:rsidRPr="00F5213A">
              <w:rPr>
                <w:rFonts w:ascii="標楷體" w:eastAsia="標楷體" w:hAnsi="標楷體" w:hint="eastAsia"/>
                <w:color w:val="000000" w:themeColor="text1"/>
              </w:rPr>
              <w:t>高風險帳戶通知。</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本公會會員另</w:t>
            </w:r>
            <w:proofErr w:type="gramStart"/>
            <w:r w:rsidRPr="00F5213A">
              <w:rPr>
                <w:rFonts w:ascii="標楷體" w:eastAsia="標楷體" w:hAnsi="標楷體" w:hint="eastAsia"/>
                <w:color w:val="000000" w:themeColor="text1"/>
              </w:rPr>
              <w:t>應依整戶</w:t>
            </w:r>
            <w:proofErr w:type="gramEnd"/>
            <w:r w:rsidRPr="00F5213A">
              <w:rPr>
                <w:rFonts w:ascii="標楷體" w:eastAsia="標楷體" w:hAnsi="標楷體" w:hint="eastAsia"/>
                <w:color w:val="000000" w:themeColor="text1"/>
              </w:rPr>
              <w:t>風險管理原則，以一般交易所需原始保證金計算交易人帳戶</w:t>
            </w:r>
            <w:r w:rsidRPr="00F5213A">
              <w:rPr>
                <w:rFonts w:ascii="標楷體" w:eastAsia="標楷體" w:hAnsi="標楷體" w:hint="eastAsia"/>
                <w:color w:val="000000" w:themeColor="text1"/>
                <w:u w:val="single"/>
              </w:rPr>
              <w:t>盤中</w:t>
            </w:r>
            <w:r w:rsidRPr="00F5213A">
              <w:rPr>
                <w:rFonts w:ascii="標楷體" w:eastAsia="標楷體" w:hAnsi="標楷體" w:hint="eastAsia"/>
                <w:color w:val="000000" w:themeColor="text1"/>
              </w:rPr>
              <w:t>風險指標，當風險指標低於約定之比率時，應開始執行代為沖銷作業程序。</w:t>
            </w:r>
          </w:p>
        </w:tc>
        <w:tc>
          <w:tcPr>
            <w:tcW w:w="2693" w:type="dxa"/>
          </w:tcPr>
          <w:p w:rsidR="00C41107" w:rsidRPr="00F5213A" w:rsidRDefault="0071001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配合期交所推出盤後交易，修正有關盤中風控、收盤前代為沖銷及盤</w:t>
            </w:r>
            <w:proofErr w:type="gramStart"/>
            <w:r w:rsidRPr="00F5213A">
              <w:rPr>
                <w:rFonts w:ascii="標楷體" w:eastAsia="標楷體" w:hAnsi="標楷體" w:hint="eastAsia"/>
                <w:color w:val="000000" w:themeColor="text1"/>
              </w:rPr>
              <w:t>後風控相關</w:t>
            </w:r>
            <w:proofErr w:type="gramEnd"/>
            <w:r w:rsidRPr="00F5213A">
              <w:rPr>
                <w:rFonts w:ascii="標楷體" w:eastAsia="標楷體" w:hAnsi="標楷體" w:hint="eastAsia"/>
                <w:color w:val="000000" w:themeColor="text1"/>
              </w:rPr>
              <w:t>作業明訂「一般交易時段」文字。</w:t>
            </w:r>
          </w:p>
        </w:tc>
      </w:tr>
      <w:tr w:rsidR="00F5213A" w:rsidRPr="00F5213A" w:rsidTr="007546A4">
        <w:tc>
          <w:tcPr>
            <w:tcW w:w="3510"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第七條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本公會會員除與交易人另有書</w:t>
            </w:r>
            <w:r w:rsidRPr="00F5213A">
              <w:rPr>
                <w:rFonts w:ascii="標楷體" w:eastAsia="標楷體" w:hAnsi="標楷體" w:hint="eastAsia"/>
                <w:color w:val="000000" w:themeColor="text1"/>
              </w:rPr>
              <w:lastRenderedPageBreak/>
              <w:t>面約定者外，應於</w:t>
            </w:r>
            <w:r w:rsidRPr="00F5213A">
              <w:rPr>
                <w:rFonts w:ascii="標楷體" w:eastAsia="標楷體" w:hAnsi="標楷體" w:hint="eastAsia"/>
                <w:color w:val="000000" w:themeColor="text1"/>
                <w:u w:val="single"/>
              </w:rPr>
              <w:t>一般交易時段</w:t>
            </w:r>
            <w:r w:rsidRPr="00F5213A">
              <w:rPr>
                <w:rFonts w:ascii="標楷體" w:eastAsia="標楷體" w:hAnsi="標楷體" w:hint="eastAsia"/>
                <w:color w:val="000000" w:themeColor="text1"/>
              </w:rPr>
              <w:t>收盤前</w:t>
            </w:r>
            <w:r w:rsidRPr="00F5213A">
              <w:rPr>
                <w:rFonts w:ascii="標楷體" w:eastAsia="標楷體" w:hAnsi="標楷體"/>
                <w:color w:val="000000" w:themeColor="text1"/>
              </w:rPr>
              <w:t>15</w:t>
            </w:r>
            <w:r w:rsidRPr="00F5213A">
              <w:rPr>
                <w:rFonts w:ascii="標楷體" w:eastAsia="標楷體" w:hAnsi="標楷體" w:hint="eastAsia"/>
                <w:color w:val="000000" w:themeColor="text1"/>
              </w:rPr>
              <w:t>至</w:t>
            </w:r>
            <w:r w:rsidRPr="00F5213A">
              <w:rPr>
                <w:rFonts w:ascii="標楷體" w:eastAsia="標楷體" w:hAnsi="標楷體"/>
                <w:color w:val="000000" w:themeColor="text1"/>
              </w:rPr>
              <w:t>45</w:t>
            </w:r>
            <w:r w:rsidRPr="00F5213A">
              <w:rPr>
                <w:rFonts w:ascii="標楷體" w:eastAsia="標楷體" w:hAnsi="標楷體" w:hint="eastAsia"/>
                <w:color w:val="000000" w:themeColor="text1"/>
              </w:rPr>
              <w:t>分鐘</w:t>
            </w:r>
            <w:proofErr w:type="gramStart"/>
            <w:r w:rsidRPr="00F5213A">
              <w:rPr>
                <w:rFonts w:ascii="標楷體" w:eastAsia="標楷體" w:hAnsi="標楷體" w:hint="eastAsia"/>
                <w:color w:val="000000" w:themeColor="text1"/>
              </w:rPr>
              <w:t>期間，</w:t>
            </w:r>
            <w:proofErr w:type="gramEnd"/>
            <w:r w:rsidRPr="00F5213A">
              <w:rPr>
                <w:rFonts w:ascii="標楷體" w:eastAsia="標楷體" w:hAnsi="標楷體" w:hint="eastAsia"/>
                <w:color w:val="000000" w:themeColor="text1"/>
              </w:rPr>
              <w:t>通知交易人將當沖交易之未沖銷部位自行沖銷。</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本公會會員另應於</w:t>
            </w:r>
            <w:r w:rsidRPr="00F5213A">
              <w:rPr>
                <w:rFonts w:ascii="標楷體" w:eastAsia="標楷體" w:hAnsi="標楷體" w:hint="eastAsia"/>
                <w:color w:val="000000" w:themeColor="text1"/>
                <w:u w:val="single"/>
              </w:rPr>
              <w:t>一般交易時段</w:t>
            </w:r>
            <w:r w:rsidRPr="00F5213A">
              <w:rPr>
                <w:rFonts w:ascii="標楷體" w:eastAsia="標楷體" w:hAnsi="標楷體" w:hint="eastAsia"/>
                <w:color w:val="000000" w:themeColor="text1"/>
              </w:rPr>
              <w:t>收盤前</w:t>
            </w:r>
            <w:r w:rsidRPr="00F5213A">
              <w:rPr>
                <w:rFonts w:ascii="標楷體" w:eastAsia="標楷體" w:hAnsi="標楷體"/>
                <w:color w:val="000000" w:themeColor="text1"/>
              </w:rPr>
              <w:t>15</w:t>
            </w:r>
            <w:r w:rsidRPr="00F5213A">
              <w:rPr>
                <w:rFonts w:ascii="標楷體" w:eastAsia="標楷體" w:hAnsi="標楷體" w:hint="eastAsia"/>
                <w:color w:val="000000" w:themeColor="text1"/>
              </w:rPr>
              <w:t>分鐘產製檢核報表，對交易人當沖交易之未沖銷部位於該時點後，開始將尚未成交之當沖交易新增部位委託單取消，及將當沖交易平倉委託單取消或使用委託</w:t>
            </w:r>
            <w:proofErr w:type="gramStart"/>
            <w:r w:rsidRPr="00F5213A">
              <w:rPr>
                <w:rFonts w:ascii="標楷體" w:eastAsia="標楷體" w:hAnsi="標楷體" w:hint="eastAsia"/>
                <w:color w:val="000000" w:themeColor="text1"/>
              </w:rPr>
              <w:t>單改價</w:t>
            </w:r>
            <w:proofErr w:type="gramEnd"/>
            <w:r w:rsidRPr="00F5213A">
              <w:rPr>
                <w:rFonts w:ascii="標楷體" w:eastAsia="標楷體" w:hAnsi="標楷體" w:hint="eastAsia"/>
                <w:color w:val="000000" w:themeColor="text1"/>
              </w:rPr>
              <w:t>功能，再以市價單或合理之限價單（最近成交價至其以下</w:t>
            </w:r>
            <w:r w:rsidRPr="00F5213A">
              <w:rPr>
                <w:rFonts w:ascii="標楷體" w:eastAsia="標楷體" w:hAnsi="標楷體"/>
                <w:color w:val="000000" w:themeColor="text1"/>
              </w:rPr>
              <w:t>5</w:t>
            </w:r>
            <w:r w:rsidRPr="00F5213A">
              <w:rPr>
                <w:rFonts w:ascii="標楷體" w:eastAsia="標楷體" w:hAnsi="標楷體" w:hint="eastAsia"/>
                <w:color w:val="000000" w:themeColor="text1"/>
              </w:rPr>
              <w:t>個價格跳動點內之平倉賣單或最近成交價至其以上</w:t>
            </w:r>
            <w:r w:rsidRPr="00F5213A">
              <w:rPr>
                <w:rFonts w:ascii="標楷體" w:eastAsia="標楷體" w:hAnsi="標楷體"/>
                <w:color w:val="000000" w:themeColor="text1"/>
              </w:rPr>
              <w:t>5</w:t>
            </w:r>
            <w:r w:rsidRPr="00F5213A">
              <w:rPr>
                <w:rFonts w:ascii="標楷體" w:eastAsia="標楷體" w:hAnsi="標楷體" w:hint="eastAsia"/>
                <w:color w:val="000000" w:themeColor="text1"/>
              </w:rPr>
              <w:t>個價格跳動點內之平倉買單）或一定範圍市價單等方式執行</w:t>
            </w:r>
            <w:r w:rsidRPr="00F5213A">
              <w:rPr>
                <w:rFonts w:ascii="標楷體" w:eastAsia="標楷體" w:hAnsi="標楷體" w:hint="eastAsia"/>
                <w:color w:val="000000" w:themeColor="text1"/>
                <w:u w:val="single"/>
              </w:rPr>
              <w:t>代為</w:t>
            </w:r>
            <w:r w:rsidRPr="00F5213A">
              <w:rPr>
                <w:rFonts w:ascii="標楷體" w:eastAsia="標楷體" w:hAnsi="標楷體" w:hint="eastAsia"/>
                <w:color w:val="000000" w:themeColor="text1"/>
              </w:rPr>
              <w:t>沖銷，但交易人之當沖部位已為漲停買進或跌停賣出之平倉委託單並已限制為無法撤銷者，不在此限。</w:t>
            </w:r>
            <w:r w:rsidRPr="00F5213A">
              <w:rPr>
                <w:rFonts w:ascii="標楷體" w:eastAsia="標楷體" w:hAnsi="標楷體"/>
                <w:color w:val="000000" w:themeColor="text1"/>
              </w:rPr>
              <w:t xml:space="preserve"> </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w:t>
            </w:r>
            <w:r w:rsidR="003A1E51" w:rsidRPr="00F5213A">
              <w:rPr>
                <w:rFonts w:ascii="標楷體" w:eastAsia="標楷體" w:hAnsi="標楷體" w:hint="eastAsia"/>
                <w:color w:val="000000" w:themeColor="text1"/>
              </w:rPr>
              <w:t>執行</w:t>
            </w:r>
            <w:r w:rsidRPr="00F5213A">
              <w:rPr>
                <w:rFonts w:ascii="標楷體" w:eastAsia="標楷體" w:hAnsi="標楷體" w:hint="eastAsia"/>
                <w:color w:val="000000" w:themeColor="text1"/>
                <w:u w:val="single"/>
              </w:rPr>
              <w:t>代為</w:t>
            </w:r>
            <w:r w:rsidRPr="00F5213A">
              <w:rPr>
                <w:rFonts w:ascii="標楷體" w:eastAsia="標楷體" w:hAnsi="標楷體" w:hint="eastAsia"/>
                <w:color w:val="000000" w:themeColor="text1"/>
              </w:rPr>
              <w:t>沖銷、取消委託、委託</w:t>
            </w:r>
            <w:proofErr w:type="gramStart"/>
            <w:r w:rsidRPr="00F5213A">
              <w:rPr>
                <w:rFonts w:ascii="標楷體" w:eastAsia="標楷體" w:hAnsi="標楷體" w:hint="eastAsia"/>
                <w:color w:val="000000" w:themeColor="text1"/>
              </w:rPr>
              <w:t>單改價</w:t>
            </w:r>
            <w:proofErr w:type="gramEnd"/>
            <w:r w:rsidRPr="00F5213A">
              <w:rPr>
                <w:rFonts w:ascii="標楷體" w:eastAsia="標楷體" w:hAnsi="標楷體" w:hint="eastAsia"/>
                <w:color w:val="000000" w:themeColor="text1"/>
              </w:rPr>
              <w:t>之紀錄，均須留存備查，供主管機關、期交所及本公會查核。</w:t>
            </w:r>
            <w:r w:rsidRPr="00F5213A">
              <w:rPr>
                <w:rFonts w:ascii="標楷體" w:eastAsia="標楷體" w:hAnsi="標楷體"/>
                <w:color w:val="000000" w:themeColor="text1"/>
              </w:rPr>
              <w:t xml:space="preserve"> </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本公會會員應於</w:t>
            </w:r>
            <w:r w:rsidRPr="00F5213A">
              <w:rPr>
                <w:rFonts w:ascii="標楷體" w:eastAsia="標楷體" w:hAnsi="標楷體" w:hint="eastAsia"/>
                <w:color w:val="000000" w:themeColor="text1"/>
                <w:u w:val="single"/>
              </w:rPr>
              <w:t>一般交易時段</w:t>
            </w:r>
            <w:r w:rsidRPr="00F5213A">
              <w:rPr>
                <w:rFonts w:ascii="標楷體" w:eastAsia="標楷體" w:hAnsi="標楷體" w:hint="eastAsia"/>
                <w:color w:val="000000" w:themeColor="text1"/>
              </w:rPr>
              <w:t>收盤前，對交易人之當沖部位執行</w:t>
            </w:r>
            <w:r w:rsidRPr="00F5213A">
              <w:rPr>
                <w:rFonts w:ascii="標楷體" w:eastAsia="標楷體" w:hAnsi="標楷體" w:hint="eastAsia"/>
                <w:color w:val="000000" w:themeColor="text1"/>
                <w:u w:val="single"/>
              </w:rPr>
              <w:t>代為</w:t>
            </w:r>
            <w:r w:rsidRPr="00F5213A">
              <w:rPr>
                <w:rFonts w:ascii="標楷體" w:eastAsia="標楷體" w:hAnsi="標楷體" w:hint="eastAsia"/>
                <w:color w:val="000000" w:themeColor="text1"/>
              </w:rPr>
              <w:t>沖銷至全數了結為止，但已依市價單、合理之限價單、一定範圍市價單或本條第二項所訂之漲停買進或跌停賣出之平倉委託單執行沖銷作業，卻因市場發生流動性不足或不可抗力</w:t>
            </w:r>
            <w:r w:rsidRPr="00F5213A">
              <w:rPr>
                <w:rFonts w:ascii="標楷體" w:eastAsia="標楷體" w:hAnsi="標楷體" w:hint="eastAsia"/>
                <w:color w:val="000000" w:themeColor="text1"/>
              </w:rPr>
              <w:lastRenderedPageBreak/>
              <w:t>因素而未成交者，不在此限。</w:t>
            </w:r>
          </w:p>
        </w:tc>
        <w:tc>
          <w:tcPr>
            <w:tcW w:w="3544"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lastRenderedPageBreak/>
              <w:t>第七條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本公會會員除與交易人另有書</w:t>
            </w:r>
            <w:r w:rsidRPr="00F5213A">
              <w:rPr>
                <w:rFonts w:ascii="標楷體" w:eastAsia="標楷體" w:hAnsi="標楷體" w:hint="eastAsia"/>
                <w:color w:val="000000" w:themeColor="text1"/>
              </w:rPr>
              <w:lastRenderedPageBreak/>
              <w:t>面約定者外，應於收盤前15至45分鐘</w:t>
            </w:r>
            <w:proofErr w:type="gramStart"/>
            <w:r w:rsidRPr="00F5213A">
              <w:rPr>
                <w:rFonts w:ascii="標楷體" w:eastAsia="標楷體" w:hAnsi="標楷體" w:hint="eastAsia"/>
                <w:color w:val="000000" w:themeColor="text1"/>
              </w:rPr>
              <w:t>期間，</w:t>
            </w:r>
            <w:proofErr w:type="gramEnd"/>
            <w:r w:rsidRPr="00F5213A">
              <w:rPr>
                <w:rFonts w:ascii="標楷體" w:eastAsia="標楷體" w:hAnsi="標楷體" w:hint="eastAsia"/>
                <w:color w:val="000000" w:themeColor="text1"/>
              </w:rPr>
              <w:t>通知交易人將當沖交易之未沖銷部位自行沖銷。</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本公會會員另應於收盤前15分鐘產製檢核報表，對交易人當沖交易之未沖銷部位於該時點後，開始將尚未成交之當沖交易新增部位委託單取消，及將當沖交易平倉委託單取消或使用委託</w:t>
            </w:r>
            <w:proofErr w:type="gramStart"/>
            <w:r w:rsidRPr="00F5213A">
              <w:rPr>
                <w:rFonts w:ascii="標楷體" w:eastAsia="標楷體" w:hAnsi="標楷體" w:hint="eastAsia"/>
                <w:color w:val="000000" w:themeColor="text1"/>
              </w:rPr>
              <w:t>單改價</w:t>
            </w:r>
            <w:proofErr w:type="gramEnd"/>
            <w:r w:rsidRPr="00F5213A">
              <w:rPr>
                <w:rFonts w:ascii="標楷體" w:eastAsia="標楷體" w:hAnsi="標楷體" w:hint="eastAsia"/>
                <w:color w:val="000000" w:themeColor="text1"/>
              </w:rPr>
              <w:t>功能，再以市價單、合理之限價單（最近成交價至其以下 5個價格跳動點內之平倉賣單或最近成交價至其以上 5個價格跳動點內之平倉買單）或一定範圍市價單等方式執行</w:t>
            </w:r>
            <w:r w:rsidRPr="00F5213A">
              <w:rPr>
                <w:rFonts w:ascii="標楷體" w:eastAsia="標楷體" w:hAnsi="標楷體" w:hint="eastAsia"/>
                <w:color w:val="000000" w:themeColor="text1"/>
                <w:u w:val="single"/>
              </w:rPr>
              <w:t>強制</w:t>
            </w:r>
            <w:r w:rsidRPr="00F5213A">
              <w:rPr>
                <w:rFonts w:ascii="標楷體" w:eastAsia="標楷體" w:hAnsi="標楷體" w:hint="eastAsia"/>
                <w:color w:val="000000" w:themeColor="text1"/>
              </w:rPr>
              <w:t>沖銷，但交易人之當沖部位已為漲停買進或跌停賣出之平倉委託單並已限制為無法撤銷者，不在此限。</w:t>
            </w:r>
          </w:p>
          <w:p w:rsidR="00C41107" w:rsidRPr="00F5213A" w:rsidRDefault="00C41107" w:rsidP="007546A4">
            <w:pPr>
              <w:spacing w:line="400" w:lineRule="exact"/>
              <w:rPr>
                <w:rFonts w:ascii="標楷體" w:eastAsia="標楷體" w:hAnsi="標楷體"/>
                <w:color w:val="000000" w:themeColor="text1"/>
              </w:rPr>
            </w:pP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本公會會員執行</w:t>
            </w:r>
            <w:r w:rsidRPr="00F5213A">
              <w:rPr>
                <w:rFonts w:ascii="標楷體" w:eastAsia="標楷體" w:hAnsi="標楷體" w:hint="eastAsia"/>
                <w:color w:val="000000" w:themeColor="text1"/>
                <w:u w:val="single"/>
              </w:rPr>
              <w:t>強制</w:t>
            </w:r>
            <w:r w:rsidRPr="00F5213A">
              <w:rPr>
                <w:rFonts w:ascii="標楷體" w:eastAsia="標楷體" w:hAnsi="標楷體" w:hint="eastAsia"/>
                <w:color w:val="000000" w:themeColor="text1"/>
              </w:rPr>
              <w:t>沖銷、取消委託、委託</w:t>
            </w:r>
            <w:proofErr w:type="gramStart"/>
            <w:r w:rsidRPr="00F5213A">
              <w:rPr>
                <w:rFonts w:ascii="標楷體" w:eastAsia="標楷體" w:hAnsi="標楷體" w:hint="eastAsia"/>
                <w:color w:val="000000" w:themeColor="text1"/>
              </w:rPr>
              <w:t>單改價</w:t>
            </w:r>
            <w:proofErr w:type="gramEnd"/>
            <w:r w:rsidRPr="00F5213A">
              <w:rPr>
                <w:rFonts w:ascii="標楷體" w:eastAsia="標楷體" w:hAnsi="標楷體" w:hint="eastAsia"/>
                <w:color w:val="000000" w:themeColor="text1"/>
              </w:rPr>
              <w:t>之紀錄，均須留存備查，供主管機關、期交所及本公會查核。</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本公會會員應於收盤前對交易人之當沖部位執行</w:t>
            </w:r>
            <w:r w:rsidRPr="00F5213A">
              <w:rPr>
                <w:rFonts w:ascii="標楷體" w:eastAsia="標楷體" w:hAnsi="標楷體" w:hint="eastAsia"/>
                <w:color w:val="000000" w:themeColor="text1"/>
                <w:u w:val="single"/>
              </w:rPr>
              <w:t>強制</w:t>
            </w:r>
            <w:r w:rsidRPr="00F5213A">
              <w:rPr>
                <w:rFonts w:ascii="標楷體" w:eastAsia="標楷體" w:hAnsi="標楷體" w:hint="eastAsia"/>
                <w:color w:val="000000" w:themeColor="text1"/>
              </w:rPr>
              <w:t>沖銷至全數了結為止，但已依市價單、合理之限價單</w:t>
            </w:r>
            <w:r w:rsidRPr="00F5213A">
              <w:rPr>
                <w:rFonts w:ascii="標楷體" w:eastAsia="標楷體" w:hAnsi="標楷體" w:hint="eastAsia"/>
                <w:b/>
                <w:color w:val="000000" w:themeColor="text1"/>
                <w:u w:val="single"/>
              </w:rPr>
              <w:t>、</w:t>
            </w:r>
            <w:r w:rsidRPr="00F5213A">
              <w:rPr>
                <w:rFonts w:ascii="標楷體" w:eastAsia="標楷體" w:hAnsi="標楷體" w:hint="eastAsia"/>
                <w:color w:val="000000" w:themeColor="text1"/>
              </w:rPr>
              <w:t>一定範圍市價單或本條第二項所訂之漲停買進或跌停賣出之平倉委託單執行沖銷作業，卻因市場發生流動性不足或不可抗力因素而未成交</w:t>
            </w:r>
            <w:r w:rsidRPr="00F5213A">
              <w:rPr>
                <w:rFonts w:ascii="標楷體" w:eastAsia="標楷體" w:hAnsi="標楷體" w:hint="eastAsia"/>
                <w:color w:val="000000" w:themeColor="text1"/>
              </w:rPr>
              <w:lastRenderedPageBreak/>
              <w:t>者，不在此限。</w:t>
            </w:r>
          </w:p>
        </w:tc>
        <w:tc>
          <w:tcPr>
            <w:tcW w:w="2693" w:type="dxa"/>
          </w:tcPr>
          <w:p w:rsidR="00C41107" w:rsidRPr="00F5213A" w:rsidRDefault="00915642"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lastRenderedPageBreak/>
              <w:t>配合期交所推出盤後交易，修正有關盤中風</w:t>
            </w:r>
            <w:r w:rsidRPr="00F5213A">
              <w:rPr>
                <w:rFonts w:ascii="標楷體" w:eastAsia="標楷體" w:hAnsi="標楷體" w:hint="eastAsia"/>
                <w:color w:val="000000" w:themeColor="text1"/>
              </w:rPr>
              <w:lastRenderedPageBreak/>
              <w:t>控、收盤前代為沖銷及盤</w:t>
            </w:r>
            <w:proofErr w:type="gramStart"/>
            <w:r w:rsidRPr="00F5213A">
              <w:rPr>
                <w:rFonts w:ascii="標楷體" w:eastAsia="標楷體" w:hAnsi="標楷體" w:hint="eastAsia"/>
                <w:color w:val="000000" w:themeColor="text1"/>
              </w:rPr>
              <w:t>後風控相關</w:t>
            </w:r>
            <w:proofErr w:type="gramEnd"/>
            <w:r w:rsidRPr="00F5213A">
              <w:rPr>
                <w:rFonts w:ascii="標楷體" w:eastAsia="標楷體" w:hAnsi="標楷體" w:hint="eastAsia"/>
                <w:color w:val="000000" w:themeColor="text1"/>
              </w:rPr>
              <w:t>作業明訂「一般交易時段」文字。</w:t>
            </w:r>
          </w:p>
        </w:tc>
      </w:tr>
      <w:tr w:rsidR="00F5213A" w:rsidRPr="00F5213A" w:rsidTr="007546A4">
        <w:tc>
          <w:tcPr>
            <w:tcW w:w="3510"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lastRenderedPageBreak/>
              <w:t>第八條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因前條第四項但書之情形，致交易人於當日</w:t>
            </w:r>
            <w:r w:rsidRPr="00F5213A">
              <w:rPr>
                <w:rFonts w:ascii="標楷體" w:eastAsia="標楷體" w:hAnsi="標楷體" w:hint="eastAsia"/>
                <w:color w:val="000000" w:themeColor="text1"/>
                <w:u w:val="single"/>
              </w:rPr>
              <w:t>一般交易時段</w:t>
            </w:r>
            <w:r w:rsidRPr="00F5213A">
              <w:rPr>
                <w:rFonts w:ascii="標楷體" w:eastAsia="標楷體" w:hAnsi="標楷體" w:hint="eastAsia"/>
                <w:color w:val="000000" w:themeColor="text1"/>
              </w:rPr>
              <w:t>收盤後尚有當沖交易之未沖銷部位，本公會會員應於次一</w:t>
            </w:r>
            <w:r w:rsidRPr="00F5213A">
              <w:rPr>
                <w:rFonts w:ascii="標楷體" w:eastAsia="標楷體" w:hAnsi="標楷體" w:hint="eastAsia"/>
                <w:color w:val="000000" w:themeColor="text1"/>
                <w:u w:val="single"/>
              </w:rPr>
              <w:t>一般交易時段</w:t>
            </w:r>
            <w:r w:rsidRPr="00F5213A">
              <w:rPr>
                <w:rFonts w:ascii="標楷體" w:eastAsia="標楷體" w:hAnsi="標楷體" w:hint="eastAsia"/>
                <w:color w:val="000000" w:themeColor="text1"/>
              </w:rPr>
              <w:t>對該部位繼續執行沖銷作業至全數了結為止，但有下列情形者，不在此限：</w:t>
            </w:r>
            <w:r w:rsidRPr="00F5213A">
              <w:rPr>
                <w:rFonts w:ascii="標楷體" w:eastAsia="標楷體" w:hAnsi="標楷體"/>
                <w:color w:val="000000" w:themeColor="text1"/>
              </w:rPr>
              <w:t xml:space="preserve"> </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一、當日</w:t>
            </w:r>
            <w:r w:rsidRPr="00F5213A">
              <w:rPr>
                <w:rFonts w:ascii="標楷體" w:eastAsia="標楷體" w:hAnsi="標楷體" w:hint="eastAsia"/>
                <w:color w:val="000000" w:themeColor="text1"/>
                <w:u w:val="single"/>
              </w:rPr>
              <w:t>一般交易時段</w:t>
            </w:r>
            <w:r w:rsidRPr="00F5213A">
              <w:rPr>
                <w:rFonts w:ascii="標楷體" w:eastAsia="標楷體" w:hAnsi="標楷體" w:hint="eastAsia"/>
                <w:color w:val="000000" w:themeColor="text1"/>
              </w:rPr>
              <w:t>收盤後，交易人帳戶權益數不低於以期交所公告之一般交易保證金標準計算之未沖銷部位所需原始保證金者。</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二、當日</w:t>
            </w:r>
            <w:r w:rsidRPr="00F5213A">
              <w:rPr>
                <w:rFonts w:ascii="標楷體" w:eastAsia="標楷體" w:hAnsi="標楷體" w:hint="eastAsia"/>
                <w:color w:val="000000" w:themeColor="text1"/>
                <w:u w:val="single"/>
              </w:rPr>
              <w:t>一般交易時段</w:t>
            </w:r>
            <w:r w:rsidRPr="00F5213A">
              <w:rPr>
                <w:rFonts w:ascii="標楷體" w:eastAsia="標楷體" w:hAnsi="標楷體" w:hint="eastAsia"/>
                <w:color w:val="000000" w:themeColor="text1"/>
              </w:rPr>
              <w:t>收盤後，交易人帳戶權益數雖低於以期交所公告之一般交易保證金標準計算之未沖銷部位所需原始保證金，惟計算當日沖銷交易未沖銷部位之權益數（即以期交所規定之當日沖銷交易所需原始保證金加計其當日損益金額），不低於一般交易所需原始保證金，或於當日下午</w:t>
            </w:r>
            <w:r w:rsidRPr="00F5213A">
              <w:rPr>
                <w:rFonts w:ascii="標楷體" w:eastAsia="標楷體" w:hAnsi="標楷體"/>
                <w:color w:val="000000" w:themeColor="text1"/>
              </w:rPr>
              <w:t>3</w:t>
            </w:r>
            <w:r w:rsidRPr="00F5213A">
              <w:rPr>
                <w:rFonts w:ascii="標楷體" w:eastAsia="標楷體" w:hAnsi="標楷體" w:hint="eastAsia"/>
                <w:color w:val="000000" w:themeColor="text1"/>
              </w:rPr>
              <w:t>時</w:t>
            </w:r>
            <w:r w:rsidRPr="00F5213A">
              <w:rPr>
                <w:rFonts w:ascii="標楷體" w:eastAsia="標楷體" w:hAnsi="標楷體"/>
                <w:color w:val="000000" w:themeColor="text1"/>
              </w:rPr>
              <w:t>30</w:t>
            </w:r>
            <w:r w:rsidRPr="00F5213A">
              <w:rPr>
                <w:rFonts w:ascii="標楷體" w:eastAsia="標楷體" w:hAnsi="標楷體" w:hint="eastAsia"/>
                <w:color w:val="000000" w:themeColor="text1"/>
              </w:rPr>
              <w:t>分前補足至一般交易所需之原始保證金數額者。</w:t>
            </w:r>
          </w:p>
        </w:tc>
        <w:tc>
          <w:tcPr>
            <w:tcW w:w="3544"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第八條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因前條第四項但書之情形，致交易人於當日收盤後尚有當沖交易之未沖銷部位，本公會會員應於次一</w:t>
            </w:r>
            <w:r w:rsidRPr="00F5213A">
              <w:rPr>
                <w:rFonts w:ascii="標楷體" w:eastAsia="標楷體" w:hAnsi="標楷體" w:hint="eastAsia"/>
                <w:color w:val="000000" w:themeColor="text1"/>
                <w:u w:val="single"/>
              </w:rPr>
              <w:t>營業日</w:t>
            </w:r>
            <w:r w:rsidRPr="00F5213A">
              <w:rPr>
                <w:rFonts w:ascii="標楷體" w:eastAsia="標楷體" w:hAnsi="標楷體" w:hint="eastAsia"/>
                <w:color w:val="000000" w:themeColor="text1"/>
              </w:rPr>
              <w:t>對該部位繼續執行沖銷作業至全數了結為止，但有下列情形者，不在此限：</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一、當日收盤後，交易人帳戶權益數不低於以期交所公告之一般交易保證金標準計算之未沖銷部位所需原始保證金者。</w:t>
            </w:r>
          </w:p>
          <w:p w:rsidR="00C41107" w:rsidRPr="00F5213A" w:rsidRDefault="00C41107" w:rsidP="007546A4">
            <w:pPr>
              <w:spacing w:line="400" w:lineRule="exact"/>
              <w:ind w:left="346" w:hangingChars="144" w:hanging="346"/>
              <w:rPr>
                <w:rFonts w:ascii="標楷體" w:eastAsia="標楷體" w:hAnsi="標楷體"/>
                <w:color w:val="000000" w:themeColor="text1"/>
              </w:rPr>
            </w:pPr>
            <w:r w:rsidRPr="00F5213A">
              <w:rPr>
                <w:rFonts w:ascii="標楷體" w:eastAsia="標楷體" w:hAnsi="標楷體" w:hint="eastAsia"/>
                <w:color w:val="000000" w:themeColor="text1"/>
              </w:rPr>
              <w:t>二、當日收盤後，交易人帳戶權益數雖低於以期交所公告之一般交易保證金標準計算之未沖銷部位所需原始保證金，惟計算當日沖銷交易未沖銷部位之權益數（即以期交所規定之當日沖銷交易所需原始保證金加計其當日損益金額），不低於一般交易所需原始保證金，或於當日下午 3時30分前補足至一般交易所需之原始保證金數額者。</w:t>
            </w:r>
          </w:p>
        </w:tc>
        <w:tc>
          <w:tcPr>
            <w:tcW w:w="2693" w:type="dxa"/>
          </w:tcPr>
          <w:p w:rsidR="00C41107" w:rsidRPr="00F5213A" w:rsidRDefault="00915642"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配合期交所推出盤後交易，修正有關盤中風控、收盤前代為沖銷及盤後風控相關作業明訂「一般交易時段」文字。</w:t>
            </w:r>
          </w:p>
        </w:tc>
      </w:tr>
      <w:tr w:rsidR="00F5213A" w:rsidRPr="00F5213A" w:rsidTr="007546A4">
        <w:tc>
          <w:tcPr>
            <w:tcW w:w="3510"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第九條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本規則經理監事聯席會議通過並陳報目的事業主管機關備查後公告施行，修正時亦同。</w:t>
            </w:r>
          </w:p>
        </w:tc>
        <w:tc>
          <w:tcPr>
            <w:tcW w:w="3544" w:type="dxa"/>
          </w:tcPr>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第九條</w:t>
            </w:r>
          </w:p>
          <w:p w:rsidR="00C41107" w:rsidRPr="00F5213A" w:rsidRDefault="00C4110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本規則經理監事聯席會議通過並陳報目的事業主管機關備查後公告施行，修正時亦同。</w:t>
            </w:r>
          </w:p>
        </w:tc>
        <w:tc>
          <w:tcPr>
            <w:tcW w:w="2693" w:type="dxa"/>
          </w:tcPr>
          <w:p w:rsidR="00C41107" w:rsidRPr="00F5213A" w:rsidRDefault="00710017" w:rsidP="007546A4">
            <w:pPr>
              <w:spacing w:line="400" w:lineRule="exact"/>
              <w:rPr>
                <w:rFonts w:ascii="標楷體" w:eastAsia="標楷體" w:hAnsi="標楷體"/>
                <w:color w:val="000000" w:themeColor="text1"/>
              </w:rPr>
            </w:pPr>
            <w:r w:rsidRPr="00F5213A">
              <w:rPr>
                <w:rFonts w:ascii="標楷體" w:eastAsia="標楷體" w:hAnsi="標楷體" w:hint="eastAsia"/>
                <w:color w:val="000000" w:themeColor="text1"/>
              </w:rPr>
              <w:t>本條未修正。</w:t>
            </w:r>
          </w:p>
        </w:tc>
      </w:tr>
    </w:tbl>
    <w:p w:rsidR="001B679E" w:rsidRDefault="001B679E" w:rsidP="007546A4">
      <w:pPr>
        <w:spacing w:line="400" w:lineRule="exact"/>
      </w:pPr>
    </w:p>
    <w:sectPr w:rsidR="001B679E" w:rsidSect="007546A4">
      <w:headerReference w:type="default" r:id="rId8"/>
      <w:footerReference w:type="default" r:id="rId9"/>
      <w:pgSz w:w="11907" w:h="16840"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F2C" w:rsidRDefault="00F77F2C" w:rsidP="00BD0C1D">
      <w:r>
        <w:separator/>
      </w:r>
    </w:p>
  </w:endnote>
  <w:endnote w:type="continuationSeparator" w:id="0">
    <w:p w:rsidR="00F77F2C" w:rsidRDefault="00F77F2C" w:rsidP="00BD0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7167219"/>
      <w:docPartObj>
        <w:docPartGallery w:val="Page Numbers (Bottom of Page)"/>
        <w:docPartUnique/>
      </w:docPartObj>
    </w:sdtPr>
    <w:sdtEndPr/>
    <w:sdtContent>
      <w:p w:rsidR="004D2C32" w:rsidRDefault="004D2C32" w:rsidP="004D2C32">
        <w:pPr>
          <w:pStyle w:val="a6"/>
          <w:jc w:val="center"/>
        </w:pPr>
        <w:r>
          <w:fldChar w:fldCharType="begin"/>
        </w:r>
        <w:r>
          <w:instrText>PAGE   \* MERGEFORMAT</w:instrText>
        </w:r>
        <w:r>
          <w:fldChar w:fldCharType="separate"/>
        </w:r>
        <w:r w:rsidR="007546A4" w:rsidRPr="007546A4">
          <w:rPr>
            <w:noProof/>
            <w:lang w:val="zh-TW"/>
          </w:rPr>
          <w:t>1</w:t>
        </w:r>
        <w:r>
          <w:fldChar w:fldCharType="end"/>
        </w:r>
      </w:p>
    </w:sdtContent>
  </w:sdt>
  <w:p w:rsidR="004D2C32" w:rsidRDefault="004D2C3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F2C" w:rsidRDefault="00F77F2C" w:rsidP="00BD0C1D">
      <w:r>
        <w:separator/>
      </w:r>
    </w:p>
  </w:footnote>
  <w:footnote w:type="continuationSeparator" w:id="0">
    <w:p w:rsidR="00F77F2C" w:rsidRDefault="00F77F2C" w:rsidP="00BD0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1D1" w:rsidRPr="00915642" w:rsidRDefault="00BD0C1D" w:rsidP="00BD0C1D">
    <w:pPr>
      <w:pStyle w:val="a4"/>
      <w:jc w:val="center"/>
      <w:rPr>
        <w:rFonts w:ascii="標楷體" w:eastAsia="標楷體" w:hAnsi="標楷體"/>
        <w:sz w:val="28"/>
        <w:szCs w:val="28"/>
      </w:rPr>
    </w:pPr>
    <w:r w:rsidRPr="00915642">
      <w:rPr>
        <w:rFonts w:ascii="標楷體" w:eastAsia="標楷體" w:hAnsi="標楷體" w:hint="eastAsia"/>
        <w:sz w:val="28"/>
        <w:szCs w:val="28"/>
      </w:rPr>
      <w:t>中華民國期貨業商業同業公會</w:t>
    </w:r>
  </w:p>
  <w:p w:rsidR="00BD0C1D" w:rsidRPr="00915642" w:rsidRDefault="00BD0C1D" w:rsidP="00BD0C1D">
    <w:pPr>
      <w:pStyle w:val="a4"/>
      <w:jc w:val="center"/>
      <w:rPr>
        <w:rFonts w:ascii="標楷體" w:eastAsia="標楷體" w:hAnsi="標楷體"/>
        <w:sz w:val="28"/>
        <w:szCs w:val="28"/>
      </w:rPr>
    </w:pPr>
    <w:r w:rsidRPr="00915642">
      <w:rPr>
        <w:rFonts w:ascii="標楷體" w:eastAsia="標楷體" w:hAnsi="標楷體" w:hint="eastAsia"/>
        <w:sz w:val="28"/>
        <w:szCs w:val="28"/>
      </w:rPr>
      <w:t>期貨商受託國內當日沖銷交易自律規則</w:t>
    </w:r>
    <w:r w:rsidR="00400A1C" w:rsidRPr="00915642">
      <w:rPr>
        <w:rFonts w:ascii="標楷體" w:eastAsia="標楷體" w:hAnsi="標楷體" w:hint="eastAsia"/>
        <w:sz w:val="28"/>
        <w:szCs w:val="28"/>
      </w:rPr>
      <w:t>修正對照表</w:t>
    </w:r>
  </w:p>
  <w:p w:rsidR="00BD0C1D" w:rsidRDefault="00BD0C1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ED8"/>
    <w:rsid w:val="00003128"/>
    <w:rsid w:val="000165B3"/>
    <w:rsid w:val="00023492"/>
    <w:rsid w:val="000274B7"/>
    <w:rsid w:val="00040728"/>
    <w:rsid w:val="00056263"/>
    <w:rsid w:val="00065D07"/>
    <w:rsid w:val="000721DC"/>
    <w:rsid w:val="000729B7"/>
    <w:rsid w:val="00086A21"/>
    <w:rsid w:val="000969B1"/>
    <w:rsid w:val="000B235A"/>
    <w:rsid w:val="00175CCB"/>
    <w:rsid w:val="001B679E"/>
    <w:rsid w:val="001F368D"/>
    <w:rsid w:val="00212CB7"/>
    <w:rsid w:val="002376E6"/>
    <w:rsid w:val="00243A0D"/>
    <w:rsid w:val="00253DDB"/>
    <w:rsid w:val="002D3DC7"/>
    <w:rsid w:val="002D7433"/>
    <w:rsid w:val="00350C22"/>
    <w:rsid w:val="003567B4"/>
    <w:rsid w:val="00373CDF"/>
    <w:rsid w:val="003970BE"/>
    <w:rsid w:val="003A1E51"/>
    <w:rsid w:val="003E6A46"/>
    <w:rsid w:val="00400A1C"/>
    <w:rsid w:val="00413F77"/>
    <w:rsid w:val="00451B20"/>
    <w:rsid w:val="00453548"/>
    <w:rsid w:val="00456533"/>
    <w:rsid w:val="00462490"/>
    <w:rsid w:val="00471B6C"/>
    <w:rsid w:val="0047465A"/>
    <w:rsid w:val="00480D03"/>
    <w:rsid w:val="00491B88"/>
    <w:rsid w:val="004A4631"/>
    <w:rsid w:val="004D2C32"/>
    <w:rsid w:val="004D2E29"/>
    <w:rsid w:val="004F35B8"/>
    <w:rsid w:val="00505C26"/>
    <w:rsid w:val="00527C81"/>
    <w:rsid w:val="0055121C"/>
    <w:rsid w:val="005716E3"/>
    <w:rsid w:val="005A4689"/>
    <w:rsid w:val="005B38A4"/>
    <w:rsid w:val="005C2380"/>
    <w:rsid w:val="005F02DF"/>
    <w:rsid w:val="00601E88"/>
    <w:rsid w:val="00610366"/>
    <w:rsid w:val="00636ED8"/>
    <w:rsid w:val="006502C2"/>
    <w:rsid w:val="006669F1"/>
    <w:rsid w:val="00675F0C"/>
    <w:rsid w:val="006A1111"/>
    <w:rsid w:val="006E247D"/>
    <w:rsid w:val="006E41D1"/>
    <w:rsid w:val="00710017"/>
    <w:rsid w:val="007546A4"/>
    <w:rsid w:val="007B5217"/>
    <w:rsid w:val="007F1C23"/>
    <w:rsid w:val="008030F4"/>
    <w:rsid w:val="0082784D"/>
    <w:rsid w:val="008A5334"/>
    <w:rsid w:val="008B184F"/>
    <w:rsid w:val="008C5201"/>
    <w:rsid w:val="008D0B46"/>
    <w:rsid w:val="008E2A57"/>
    <w:rsid w:val="00915642"/>
    <w:rsid w:val="00922E31"/>
    <w:rsid w:val="00946B57"/>
    <w:rsid w:val="00962047"/>
    <w:rsid w:val="00983BBF"/>
    <w:rsid w:val="009D4AB8"/>
    <w:rsid w:val="009D75FE"/>
    <w:rsid w:val="009F6758"/>
    <w:rsid w:val="00A2256E"/>
    <w:rsid w:val="00A42994"/>
    <w:rsid w:val="00A70F62"/>
    <w:rsid w:val="00B24301"/>
    <w:rsid w:val="00B33E9A"/>
    <w:rsid w:val="00B936C3"/>
    <w:rsid w:val="00BA1381"/>
    <w:rsid w:val="00BD0C1D"/>
    <w:rsid w:val="00C2524A"/>
    <w:rsid w:val="00C27760"/>
    <w:rsid w:val="00C41107"/>
    <w:rsid w:val="00C42AB8"/>
    <w:rsid w:val="00C6013D"/>
    <w:rsid w:val="00CF532A"/>
    <w:rsid w:val="00D059C7"/>
    <w:rsid w:val="00D222F3"/>
    <w:rsid w:val="00D24436"/>
    <w:rsid w:val="00D529F5"/>
    <w:rsid w:val="00D65B53"/>
    <w:rsid w:val="00D705A9"/>
    <w:rsid w:val="00D75403"/>
    <w:rsid w:val="00DA7BE3"/>
    <w:rsid w:val="00DB3DE3"/>
    <w:rsid w:val="00DB46BD"/>
    <w:rsid w:val="00DE5214"/>
    <w:rsid w:val="00E36BAD"/>
    <w:rsid w:val="00E47AB9"/>
    <w:rsid w:val="00E55809"/>
    <w:rsid w:val="00E92203"/>
    <w:rsid w:val="00EB5C58"/>
    <w:rsid w:val="00F04C32"/>
    <w:rsid w:val="00F242C3"/>
    <w:rsid w:val="00F315E8"/>
    <w:rsid w:val="00F5213A"/>
    <w:rsid w:val="00F77F2C"/>
    <w:rsid w:val="00F83214"/>
    <w:rsid w:val="00F92A64"/>
    <w:rsid w:val="00FA616C"/>
    <w:rsid w:val="00FF3E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36E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D0C1D"/>
    <w:pPr>
      <w:tabs>
        <w:tab w:val="center" w:pos="4153"/>
        <w:tab w:val="right" w:pos="8306"/>
      </w:tabs>
      <w:snapToGrid w:val="0"/>
    </w:pPr>
    <w:rPr>
      <w:sz w:val="20"/>
      <w:szCs w:val="20"/>
    </w:rPr>
  </w:style>
  <w:style w:type="character" w:customStyle="1" w:styleId="a5">
    <w:name w:val="頁首 字元"/>
    <w:basedOn w:val="a0"/>
    <w:link w:val="a4"/>
    <w:uiPriority w:val="99"/>
    <w:rsid w:val="00BD0C1D"/>
    <w:rPr>
      <w:sz w:val="20"/>
      <w:szCs w:val="20"/>
    </w:rPr>
  </w:style>
  <w:style w:type="paragraph" w:styleId="a6">
    <w:name w:val="footer"/>
    <w:basedOn w:val="a"/>
    <w:link w:val="a7"/>
    <w:uiPriority w:val="99"/>
    <w:unhideWhenUsed/>
    <w:rsid w:val="00BD0C1D"/>
    <w:pPr>
      <w:tabs>
        <w:tab w:val="center" w:pos="4153"/>
        <w:tab w:val="right" w:pos="8306"/>
      </w:tabs>
      <w:snapToGrid w:val="0"/>
    </w:pPr>
    <w:rPr>
      <w:sz w:val="20"/>
      <w:szCs w:val="20"/>
    </w:rPr>
  </w:style>
  <w:style w:type="character" w:customStyle="1" w:styleId="a7">
    <w:name w:val="頁尾 字元"/>
    <w:basedOn w:val="a0"/>
    <w:link w:val="a6"/>
    <w:uiPriority w:val="99"/>
    <w:rsid w:val="00BD0C1D"/>
    <w:rPr>
      <w:sz w:val="20"/>
      <w:szCs w:val="20"/>
    </w:rPr>
  </w:style>
  <w:style w:type="paragraph" w:styleId="a8">
    <w:name w:val="Balloon Text"/>
    <w:basedOn w:val="a"/>
    <w:link w:val="a9"/>
    <w:uiPriority w:val="99"/>
    <w:semiHidden/>
    <w:unhideWhenUsed/>
    <w:rsid w:val="00BD0C1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D0C1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36E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D0C1D"/>
    <w:pPr>
      <w:tabs>
        <w:tab w:val="center" w:pos="4153"/>
        <w:tab w:val="right" w:pos="8306"/>
      </w:tabs>
      <w:snapToGrid w:val="0"/>
    </w:pPr>
    <w:rPr>
      <w:sz w:val="20"/>
      <w:szCs w:val="20"/>
    </w:rPr>
  </w:style>
  <w:style w:type="character" w:customStyle="1" w:styleId="a5">
    <w:name w:val="頁首 字元"/>
    <w:basedOn w:val="a0"/>
    <w:link w:val="a4"/>
    <w:uiPriority w:val="99"/>
    <w:rsid w:val="00BD0C1D"/>
    <w:rPr>
      <w:sz w:val="20"/>
      <w:szCs w:val="20"/>
    </w:rPr>
  </w:style>
  <w:style w:type="paragraph" w:styleId="a6">
    <w:name w:val="footer"/>
    <w:basedOn w:val="a"/>
    <w:link w:val="a7"/>
    <w:uiPriority w:val="99"/>
    <w:unhideWhenUsed/>
    <w:rsid w:val="00BD0C1D"/>
    <w:pPr>
      <w:tabs>
        <w:tab w:val="center" w:pos="4153"/>
        <w:tab w:val="right" w:pos="8306"/>
      </w:tabs>
      <w:snapToGrid w:val="0"/>
    </w:pPr>
    <w:rPr>
      <w:sz w:val="20"/>
      <w:szCs w:val="20"/>
    </w:rPr>
  </w:style>
  <w:style w:type="character" w:customStyle="1" w:styleId="a7">
    <w:name w:val="頁尾 字元"/>
    <w:basedOn w:val="a0"/>
    <w:link w:val="a6"/>
    <w:uiPriority w:val="99"/>
    <w:rsid w:val="00BD0C1D"/>
    <w:rPr>
      <w:sz w:val="20"/>
      <w:szCs w:val="20"/>
    </w:rPr>
  </w:style>
  <w:style w:type="paragraph" w:styleId="a8">
    <w:name w:val="Balloon Text"/>
    <w:basedOn w:val="a"/>
    <w:link w:val="a9"/>
    <w:uiPriority w:val="99"/>
    <w:semiHidden/>
    <w:unhideWhenUsed/>
    <w:rsid w:val="00BD0C1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D0C1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F4D1E-A1D7-4616-A1BB-4C87EFBD0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594</Words>
  <Characters>3391</Characters>
  <Application>Microsoft Office Word</Application>
  <DocSecurity>0</DocSecurity>
  <Lines>28</Lines>
  <Paragraphs>7</Paragraphs>
  <ScaleCrop>false</ScaleCrop>
  <Company/>
  <LinksUpToDate>false</LinksUpToDate>
  <CharactersWithSpaces>3978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謝美惠</dc:creator>
  <cp:lastModifiedBy>張瓊文</cp:lastModifiedBy>
  <cp:revision>37</cp:revision>
  <cp:lastPrinted>2017-04-28T09:13:00Z</cp:lastPrinted>
  <dcterms:created xsi:type="dcterms:W3CDTF">2017-04-27T09:58:00Z</dcterms:created>
  <dcterms:modified xsi:type="dcterms:W3CDTF">2017-04-28T09:13:00Z</dcterms:modified>
</cp:coreProperties>
</file>