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968" w:rsidRPr="00B449F2" w:rsidRDefault="00B52968" w:rsidP="00B52968">
      <w:pPr>
        <w:jc w:val="center"/>
        <w:rPr>
          <w:rFonts w:ascii="標楷體" w:eastAsia="標楷體" w:hAnsi="標楷體" w:hint="eastAsia"/>
          <w:sz w:val="36"/>
          <w:szCs w:val="36"/>
        </w:rPr>
      </w:pPr>
      <w:r w:rsidRPr="00B449F2">
        <w:rPr>
          <w:rFonts w:ascii="標楷體" w:eastAsia="標楷體" w:hAnsi="標楷體" w:hint="eastAsia"/>
          <w:sz w:val="36"/>
          <w:szCs w:val="36"/>
        </w:rPr>
        <w:t>中華民國期貨業商業同業公會</w:t>
      </w:r>
    </w:p>
    <w:p w:rsidR="00B52968" w:rsidRPr="00B449F2" w:rsidRDefault="00B52968" w:rsidP="00B52968">
      <w:pPr>
        <w:spacing w:line="480" w:lineRule="exact"/>
        <w:jc w:val="center"/>
        <w:rPr>
          <w:rFonts w:ascii="標楷體" w:eastAsia="標楷體" w:hAnsi="標楷體" w:hint="eastAsia"/>
          <w:sz w:val="32"/>
          <w:szCs w:val="32"/>
        </w:rPr>
      </w:pPr>
      <w:r w:rsidRPr="00B449F2">
        <w:rPr>
          <w:rFonts w:ascii="標楷體" w:eastAsia="標楷體" w:hAnsi="標楷體" w:hint="eastAsia"/>
          <w:sz w:val="36"/>
          <w:szCs w:val="36"/>
        </w:rPr>
        <w:t>期貨信託基金之募集、發行、銷售及申購買回作業程序</w:t>
      </w:r>
    </w:p>
    <w:p w:rsidR="00B52968" w:rsidRPr="00796F53" w:rsidRDefault="00B52968" w:rsidP="00B52968">
      <w:pPr>
        <w:pStyle w:val="Layout"/>
        <w:tabs>
          <w:tab w:val="left" w:pos="672"/>
        </w:tabs>
        <w:snapToGrid w:val="0"/>
        <w:spacing w:after="60" w:line="280" w:lineRule="exact"/>
        <w:ind w:left="4536"/>
        <w:jc w:val="both"/>
        <w:rPr>
          <w:rFonts w:ascii="標楷體" w:eastAsia="標楷體" w:hAnsi="標楷體" w:hint="eastAsia"/>
          <w:sz w:val="20"/>
        </w:rPr>
      </w:pPr>
    </w:p>
    <w:p w:rsidR="00B52968" w:rsidRPr="00D53A65" w:rsidRDefault="00B52968" w:rsidP="00B52968">
      <w:pPr>
        <w:spacing w:line="240" w:lineRule="exact"/>
        <w:ind w:firstLineChars="400" w:firstLine="800"/>
        <w:rPr>
          <w:rFonts w:ascii="標楷體" w:eastAsia="標楷體" w:hAnsi="標楷體" w:hint="eastAsia"/>
          <w:sz w:val="20"/>
          <w:szCs w:val="24"/>
        </w:rPr>
      </w:pPr>
      <w:r w:rsidRPr="00D53A65">
        <w:rPr>
          <w:rFonts w:ascii="標楷體" w:eastAsia="標楷體" w:hAnsi="標楷體" w:hint="eastAsia"/>
          <w:sz w:val="20"/>
          <w:szCs w:val="24"/>
        </w:rPr>
        <w:t>中華民國97年12月16日中華民國期貨業商業同業公會第2屆理監事第8次聯席會通過</w:t>
      </w:r>
    </w:p>
    <w:p w:rsidR="00B52968" w:rsidRPr="00D53A65" w:rsidRDefault="00B52968" w:rsidP="00B52968">
      <w:pPr>
        <w:spacing w:line="240" w:lineRule="exact"/>
        <w:ind w:firstLineChars="400" w:firstLine="800"/>
        <w:rPr>
          <w:rFonts w:ascii="標楷體" w:eastAsia="標楷體" w:hAnsi="標楷體" w:hint="eastAsia"/>
          <w:sz w:val="20"/>
          <w:szCs w:val="24"/>
        </w:rPr>
      </w:pPr>
      <w:r w:rsidRPr="00D53A65">
        <w:rPr>
          <w:rFonts w:ascii="標楷體" w:eastAsia="標楷體" w:hAnsi="標楷體" w:hint="eastAsia"/>
          <w:sz w:val="20"/>
          <w:szCs w:val="24"/>
        </w:rPr>
        <w:t>中華民國98年5月25日行政院金融監督管理委員會</w:t>
      </w:r>
      <w:proofErr w:type="gramStart"/>
      <w:r w:rsidRPr="00D53A65">
        <w:rPr>
          <w:rFonts w:ascii="標楷體" w:eastAsia="標楷體" w:hAnsi="標楷體" w:hint="eastAsia"/>
          <w:sz w:val="20"/>
          <w:szCs w:val="24"/>
        </w:rPr>
        <w:t>金管證</w:t>
      </w:r>
      <w:proofErr w:type="gramEnd"/>
      <w:r w:rsidRPr="00D53A65">
        <w:rPr>
          <w:rFonts w:ascii="標楷體" w:eastAsia="標楷體" w:hAnsi="標楷體" w:hint="eastAsia"/>
          <w:sz w:val="20"/>
          <w:szCs w:val="24"/>
        </w:rPr>
        <w:t>七字第0980027021號函准予備查</w:t>
      </w:r>
    </w:p>
    <w:p w:rsidR="00B52968" w:rsidRPr="00D53A65" w:rsidRDefault="00B52968" w:rsidP="00B52968">
      <w:pPr>
        <w:spacing w:line="240" w:lineRule="exact"/>
        <w:ind w:firstLineChars="400" w:firstLine="800"/>
        <w:rPr>
          <w:rFonts w:ascii="標楷體" w:eastAsia="標楷體" w:hAnsi="標楷體" w:hint="eastAsia"/>
          <w:sz w:val="20"/>
          <w:szCs w:val="24"/>
        </w:rPr>
      </w:pPr>
      <w:r w:rsidRPr="00D53A65">
        <w:rPr>
          <w:rFonts w:ascii="標楷體" w:eastAsia="標楷體" w:hAnsi="標楷體" w:hint="eastAsia"/>
          <w:sz w:val="20"/>
          <w:szCs w:val="24"/>
        </w:rPr>
        <w:t>中華民國101年2月17日中華民國期貨業商業同業公會第3屆理監事第10次聯席會議通過</w:t>
      </w:r>
    </w:p>
    <w:p w:rsidR="00B52968" w:rsidRPr="00D53A65" w:rsidRDefault="00B52968" w:rsidP="00B52968">
      <w:pPr>
        <w:spacing w:line="240" w:lineRule="exact"/>
        <w:ind w:firstLineChars="400" w:firstLine="800"/>
        <w:rPr>
          <w:rFonts w:ascii="標楷體" w:eastAsia="標楷體" w:hAnsi="標楷體" w:hint="eastAsia"/>
          <w:sz w:val="20"/>
          <w:szCs w:val="24"/>
        </w:rPr>
      </w:pPr>
      <w:r w:rsidRPr="00D53A65">
        <w:rPr>
          <w:rFonts w:ascii="標楷體" w:eastAsia="標楷體" w:hAnsi="標楷體" w:hint="eastAsia"/>
          <w:sz w:val="20"/>
          <w:szCs w:val="24"/>
        </w:rPr>
        <w:t>中華民國101年3月6日行政院金融監督管理委員會金</w:t>
      </w:r>
      <w:proofErr w:type="gramStart"/>
      <w:r w:rsidRPr="00D53A65">
        <w:rPr>
          <w:rFonts w:ascii="標楷體" w:eastAsia="標楷體" w:hAnsi="標楷體" w:hint="eastAsia"/>
          <w:sz w:val="20"/>
          <w:szCs w:val="24"/>
        </w:rPr>
        <w:t>管證期字</w:t>
      </w:r>
      <w:proofErr w:type="gramEnd"/>
      <w:r w:rsidRPr="00D53A65">
        <w:rPr>
          <w:rFonts w:ascii="標楷體" w:eastAsia="標楷體" w:hAnsi="標楷體" w:hint="eastAsia"/>
          <w:sz w:val="20"/>
          <w:szCs w:val="24"/>
        </w:rPr>
        <w:t>第1010007120號函准予備查</w:t>
      </w:r>
    </w:p>
    <w:p w:rsidR="00B52968" w:rsidRPr="00D53A65" w:rsidRDefault="00B52968" w:rsidP="00B52968">
      <w:pPr>
        <w:spacing w:line="240" w:lineRule="exact"/>
        <w:ind w:firstLineChars="400" w:firstLine="800"/>
        <w:rPr>
          <w:rFonts w:ascii="標楷體" w:eastAsia="標楷體" w:hAnsi="標楷體" w:hint="eastAsia"/>
          <w:sz w:val="20"/>
          <w:szCs w:val="24"/>
        </w:rPr>
      </w:pPr>
      <w:r w:rsidRPr="00D53A65">
        <w:rPr>
          <w:rFonts w:ascii="標楷體" w:eastAsia="標楷體" w:hAnsi="標楷體" w:hint="eastAsia"/>
          <w:sz w:val="20"/>
          <w:szCs w:val="24"/>
        </w:rPr>
        <w:t>中華民國103</w:t>
      </w:r>
      <w:r w:rsidRPr="00D53A65">
        <w:rPr>
          <w:rFonts w:ascii="標楷體" w:eastAsia="標楷體" w:hAnsi="標楷體"/>
          <w:sz w:val="20"/>
          <w:szCs w:val="24"/>
        </w:rPr>
        <w:t>年</w:t>
      </w:r>
      <w:r w:rsidRPr="00D53A65">
        <w:rPr>
          <w:rFonts w:ascii="標楷體" w:eastAsia="標楷體" w:hAnsi="標楷體" w:hint="eastAsia"/>
          <w:sz w:val="20"/>
          <w:szCs w:val="24"/>
        </w:rPr>
        <w:t>4</w:t>
      </w:r>
      <w:r w:rsidRPr="00D53A65">
        <w:rPr>
          <w:rFonts w:ascii="標楷體" w:eastAsia="標楷體" w:hAnsi="標楷體"/>
          <w:sz w:val="20"/>
          <w:szCs w:val="24"/>
        </w:rPr>
        <w:t>月</w:t>
      </w:r>
      <w:r w:rsidRPr="00D53A65">
        <w:rPr>
          <w:rFonts w:ascii="標楷體" w:eastAsia="標楷體" w:hAnsi="標楷體" w:hint="eastAsia"/>
          <w:sz w:val="20"/>
          <w:szCs w:val="24"/>
        </w:rPr>
        <w:t>11</w:t>
      </w:r>
      <w:r w:rsidRPr="00D53A65">
        <w:rPr>
          <w:rFonts w:ascii="標楷體" w:eastAsia="標楷體" w:hAnsi="標楷體"/>
          <w:sz w:val="20"/>
          <w:szCs w:val="24"/>
        </w:rPr>
        <w:t>日</w:t>
      </w:r>
      <w:r w:rsidRPr="00D53A65">
        <w:rPr>
          <w:rFonts w:ascii="標楷體" w:eastAsia="標楷體" w:hAnsi="標楷體" w:hint="eastAsia"/>
          <w:sz w:val="20"/>
          <w:szCs w:val="24"/>
        </w:rPr>
        <w:t>中華民國期貨業商業同業公會第4屆理監事第6次聯席會議通</w:t>
      </w:r>
    </w:p>
    <w:p w:rsidR="00B52968" w:rsidRPr="00D53A65" w:rsidRDefault="00B52968" w:rsidP="00B52968">
      <w:pPr>
        <w:spacing w:line="240" w:lineRule="exact"/>
        <w:ind w:firstLineChars="400" w:firstLine="800"/>
        <w:rPr>
          <w:rFonts w:ascii="標楷體" w:eastAsia="標楷體" w:hAnsi="標楷體" w:hint="eastAsia"/>
          <w:sz w:val="20"/>
          <w:szCs w:val="24"/>
        </w:rPr>
      </w:pPr>
      <w:r w:rsidRPr="00D53A65">
        <w:rPr>
          <w:rFonts w:ascii="標楷體" w:eastAsia="標楷體" w:hAnsi="標楷體" w:hint="eastAsia"/>
          <w:sz w:val="20"/>
          <w:szCs w:val="24"/>
        </w:rPr>
        <w:t>中華民國103年6月13日金融監督管理委員會金</w:t>
      </w:r>
      <w:proofErr w:type="gramStart"/>
      <w:r w:rsidRPr="00D53A65">
        <w:rPr>
          <w:rFonts w:ascii="標楷體" w:eastAsia="標楷體" w:hAnsi="標楷體" w:hint="eastAsia"/>
          <w:sz w:val="20"/>
          <w:szCs w:val="24"/>
        </w:rPr>
        <w:t>管證期字</w:t>
      </w:r>
      <w:proofErr w:type="gramEnd"/>
      <w:r w:rsidRPr="00D53A65">
        <w:rPr>
          <w:rFonts w:ascii="標楷體" w:eastAsia="標楷體" w:hAnsi="標楷體" w:hint="eastAsia"/>
          <w:sz w:val="20"/>
          <w:szCs w:val="24"/>
        </w:rPr>
        <w:t>第1030016884號函准予備查</w:t>
      </w:r>
    </w:p>
    <w:p w:rsidR="00B52968" w:rsidRPr="00D53A65" w:rsidRDefault="00B52968" w:rsidP="00B52968">
      <w:pPr>
        <w:spacing w:line="240" w:lineRule="exact"/>
        <w:ind w:firstLineChars="400" w:firstLine="800"/>
        <w:rPr>
          <w:rFonts w:ascii="標楷體" w:eastAsia="標楷體" w:hAnsi="標楷體" w:hint="eastAsia"/>
          <w:sz w:val="20"/>
          <w:szCs w:val="24"/>
        </w:rPr>
      </w:pPr>
      <w:r w:rsidRPr="00D53A65">
        <w:rPr>
          <w:rFonts w:ascii="標楷體" w:eastAsia="標楷體" w:hAnsi="標楷體" w:hint="eastAsia"/>
          <w:sz w:val="20"/>
          <w:szCs w:val="24"/>
        </w:rPr>
        <w:t>中華民國103</w:t>
      </w:r>
      <w:r w:rsidRPr="00D53A65">
        <w:rPr>
          <w:rFonts w:ascii="標楷體" w:eastAsia="標楷體" w:hAnsi="標楷體"/>
          <w:sz w:val="20"/>
          <w:szCs w:val="24"/>
        </w:rPr>
        <w:t>年</w:t>
      </w:r>
      <w:r w:rsidRPr="00D53A65">
        <w:rPr>
          <w:rFonts w:ascii="標楷體" w:eastAsia="標楷體" w:hAnsi="標楷體" w:hint="eastAsia"/>
          <w:sz w:val="20"/>
          <w:szCs w:val="24"/>
        </w:rPr>
        <w:t>6</w:t>
      </w:r>
      <w:r w:rsidRPr="00D53A65">
        <w:rPr>
          <w:rFonts w:ascii="標楷體" w:eastAsia="標楷體" w:hAnsi="標楷體"/>
          <w:sz w:val="20"/>
          <w:szCs w:val="24"/>
        </w:rPr>
        <w:t>月</w:t>
      </w:r>
      <w:r w:rsidRPr="00D53A65">
        <w:rPr>
          <w:rFonts w:ascii="標楷體" w:eastAsia="標楷體" w:hAnsi="標楷體" w:hint="eastAsia"/>
          <w:sz w:val="20"/>
          <w:szCs w:val="24"/>
        </w:rPr>
        <w:t>20</w:t>
      </w:r>
      <w:r w:rsidRPr="00D53A65">
        <w:rPr>
          <w:rFonts w:ascii="標楷體" w:eastAsia="標楷體" w:hAnsi="標楷體"/>
          <w:sz w:val="20"/>
          <w:szCs w:val="24"/>
        </w:rPr>
        <w:t>日</w:t>
      </w:r>
      <w:r w:rsidRPr="00D53A65">
        <w:rPr>
          <w:rFonts w:ascii="標楷體" w:eastAsia="標楷體" w:hAnsi="標楷體" w:hint="eastAsia"/>
          <w:sz w:val="20"/>
          <w:szCs w:val="24"/>
        </w:rPr>
        <w:t>中華民國期貨業商業同業公會第4屆理監事第7次聯席會議通</w:t>
      </w:r>
    </w:p>
    <w:p w:rsidR="00B52968" w:rsidRDefault="00B52968" w:rsidP="00B52968">
      <w:pPr>
        <w:spacing w:line="240" w:lineRule="exact"/>
        <w:ind w:firstLineChars="400" w:firstLine="800"/>
        <w:rPr>
          <w:rFonts w:ascii="標楷體" w:eastAsia="標楷體" w:hAnsi="標楷體" w:hint="eastAsia"/>
          <w:sz w:val="20"/>
          <w:szCs w:val="24"/>
        </w:rPr>
      </w:pPr>
      <w:r w:rsidRPr="00D53A65">
        <w:rPr>
          <w:rFonts w:ascii="標楷體" w:eastAsia="標楷體" w:hAnsi="標楷體" w:hint="eastAsia"/>
          <w:sz w:val="20"/>
          <w:szCs w:val="24"/>
        </w:rPr>
        <w:t>中華民國103年7月21日金融監督管理委員會金</w:t>
      </w:r>
      <w:proofErr w:type="gramStart"/>
      <w:r w:rsidRPr="00D53A65">
        <w:rPr>
          <w:rFonts w:ascii="標楷體" w:eastAsia="標楷體" w:hAnsi="標楷體" w:hint="eastAsia"/>
          <w:sz w:val="20"/>
          <w:szCs w:val="24"/>
        </w:rPr>
        <w:t>管證期字</w:t>
      </w:r>
      <w:proofErr w:type="gramEnd"/>
      <w:r w:rsidRPr="00D53A65">
        <w:rPr>
          <w:rFonts w:ascii="標楷體" w:eastAsia="標楷體" w:hAnsi="標楷體" w:hint="eastAsia"/>
          <w:sz w:val="20"/>
          <w:szCs w:val="24"/>
        </w:rPr>
        <w:t>第1030025490號函准予照辦</w:t>
      </w:r>
    </w:p>
    <w:p w:rsidR="00B52968" w:rsidRPr="00D53A65" w:rsidRDefault="00B52968" w:rsidP="00B52968">
      <w:pPr>
        <w:spacing w:line="240" w:lineRule="exact"/>
        <w:ind w:firstLineChars="400" w:firstLine="800"/>
        <w:rPr>
          <w:rFonts w:ascii="標楷體" w:eastAsia="標楷體" w:hAnsi="標楷體" w:hint="eastAsia"/>
          <w:sz w:val="20"/>
          <w:szCs w:val="24"/>
        </w:rPr>
      </w:pPr>
      <w:r w:rsidRPr="00D53A65">
        <w:rPr>
          <w:rFonts w:ascii="標楷體" w:eastAsia="標楷體" w:hAnsi="標楷體" w:hint="eastAsia"/>
          <w:sz w:val="20"/>
          <w:szCs w:val="24"/>
        </w:rPr>
        <w:t>中華民國105</w:t>
      </w:r>
      <w:r w:rsidRPr="00D53A65">
        <w:rPr>
          <w:rFonts w:ascii="標楷體" w:eastAsia="標楷體" w:hAnsi="標楷體"/>
          <w:sz w:val="20"/>
          <w:szCs w:val="24"/>
        </w:rPr>
        <w:t>年</w:t>
      </w:r>
      <w:r>
        <w:rPr>
          <w:rFonts w:ascii="標楷體" w:eastAsia="標楷體" w:hAnsi="標楷體" w:hint="eastAsia"/>
          <w:sz w:val="20"/>
          <w:szCs w:val="24"/>
        </w:rPr>
        <w:t>5</w:t>
      </w:r>
      <w:r w:rsidRPr="00D53A65">
        <w:rPr>
          <w:rFonts w:ascii="標楷體" w:eastAsia="標楷體" w:hAnsi="標楷體"/>
          <w:sz w:val="20"/>
          <w:szCs w:val="24"/>
        </w:rPr>
        <w:t>月</w:t>
      </w:r>
      <w:r>
        <w:rPr>
          <w:rFonts w:ascii="標楷體" w:eastAsia="標楷體" w:hAnsi="標楷體" w:hint="eastAsia"/>
          <w:sz w:val="20"/>
          <w:szCs w:val="24"/>
        </w:rPr>
        <w:t>26</w:t>
      </w:r>
      <w:r w:rsidRPr="00D53A65">
        <w:rPr>
          <w:rFonts w:ascii="標楷體" w:eastAsia="標楷體" w:hAnsi="標楷體"/>
          <w:sz w:val="20"/>
          <w:szCs w:val="24"/>
        </w:rPr>
        <w:t>日金融監督管理委</w:t>
      </w:r>
      <w:r w:rsidRPr="00D53A65">
        <w:rPr>
          <w:rFonts w:ascii="標楷體" w:eastAsia="標楷體" w:hAnsi="標楷體" w:hint="eastAsia"/>
          <w:sz w:val="20"/>
          <w:szCs w:val="24"/>
        </w:rPr>
        <w:t>員會金</w:t>
      </w:r>
      <w:proofErr w:type="gramStart"/>
      <w:r w:rsidRPr="00D53A65">
        <w:rPr>
          <w:rFonts w:ascii="標楷體" w:eastAsia="標楷體" w:hAnsi="標楷體" w:hint="eastAsia"/>
          <w:sz w:val="20"/>
          <w:szCs w:val="24"/>
        </w:rPr>
        <w:t>管證期字</w:t>
      </w:r>
      <w:proofErr w:type="gramEnd"/>
      <w:r w:rsidRPr="00D53A65">
        <w:rPr>
          <w:rFonts w:ascii="標楷體" w:eastAsia="標楷體" w:hAnsi="標楷體" w:hint="eastAsia"/>
          <w:sz w:val="20"/>
          <w:szCs w:val="24"/>
        </w:rPr>
        <w:t>第1</w:t>
      </w:r>
      <w:r w:rsidRPr="00D53A65">
        <w:rPr>
          <w:rFonts w:ascii="標楷體" w:eastAsia="標楷體" w:hAnsi="標楷體"/>
          <w:sz w:val="20"/>
          <w:szCs w:val="24"/>
        </w:rPr>
        <w:t>0</w:t>
      </w:r>
      <w:r w:rsidRPr="00D53A65">
        <w:rPr>
          <w:rFonts w:ascii="標楷體" w:eastAsia="標楷體" w:hAnsi="標楷體" w:hint="eastAsia"/>
          <w:sz w:val="20"/>
          <w:szCs w:val="24"/>
        </w:rPr>
        <w:t>5</w:t>
      </w:r>
      <w:r w:rsidRPr="00D53A65">
        <w:rPr>
          <w:rFonts w:ascii="標楷體" w:eastAsia="標楷體" w:hAnsi="標楷體"/>
          <w:sz w:val="20"/>
          <w:szCs w:val="24"/>
        </w:rPr>
        <w:t>00</w:t>
      </w:r>
      <w:r>
        <w:rPr>
          <w:rFonts w:ascii="標楷體" w:eastAsia="標楷體" w:hAnsi="標楷體" w:hint="eastAsia"/>
          <w:sz w:val="20"/>
          <w:szCs w:val="24"/>
        </w:rPr>
        <w:t>20974</w:t>
      </w:r>
      <w:r w:rsidRPr="00D53A65">
        <w:rPr>
          <w:rFonts w:ascii="標楷體" w:eastAsia="標楷體" w:hAnsi="標楷體"/>
          <w:sz w:val="20"/>
          <w:szCs w:val="24"/>
        </w:rPr>
        <w:t>號函准予照辦</w:t>
      </w:r>
    </w:p>
    <w:p w:rsidR="00B52968" w:rsidRDefault="00B52968" w:rsidP="00B52968">
      <w:pPr>
        <w:spacing w:line="240" w:lineRule="exact"/>
        <w:ind w:firstLineChars="400" w:firstLine="800"/>
        <w:rPr>
          <w:rFonts w:ascii="標楷體" w:eastAsia="標楷體" w:hAnsi="標楷體" w:hint="eastAsia"/>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5</w:t>
      </w:r>
      <w:r w:rsidRPr="00B87515">
        <w:rPr>
          <w:rFonts w:ascii="標楷體" w:eastAsia="標楷體" w:hAnsi="標楷體"/>
          <w:sz w:val="20"/>
        </w:rPr>
        <w:t>年</w:t>
      </w:r>
      <w:r>
        <w:rPr>
          <w:rFonts w:ascii="標楷體" w:eastAsia="標楷體" w:hAnsi="標楷體" w:hint="eastAsia"/>
          <w:sz w:val="20"/>
        </w:rPr>
        <w:t>6</w:t>
      </w:r>
      <w:r w:rsidRPr="00B87515">
        <w:rPr>
          <w:rFonts w:ascii="標楷體" w:eastAsia="標楷體" w:hAnsi="標楷體"/>
          <w:sz w:val="20"/>
        </w:rPr>
        <w:t>月</w:t>
      </w:r>
      <w:r>
        <w:rPr>
          <w:rFonts w:ascii="標楷體" w:eastAsia="標楷體" w:hAnsi="標楷體" w:hint="eastAsia"/>
          <w:sz w:val="20"/>
        </w:rPr>
        <w:t>13</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sidRPr="00B87515">
        <w:rPr>
          <w:rFonts w:ascii="標楷體" w:eastAsia="標楷體" w:hint="eastAsia"/>
          <w:sz w:val="20"/>
        </w:rPr>
        <w:t>4</w:t>
      </w:r>
      <w:r w:rsidRPr="00B87515">
        <w:rPr>
          <w:rFonts w:ascii="標楷體" w:eastAsia="標楷體" w:hAnsi="標楷體" w:hint="eastAsia"/>
          <w:sz w:val="20"/>
        </w:rPr>
        <w:t>屆理監事第1</w:t>
      </w:r>
      <w:r>
        <w:rPr>
          <w:rFonts w:ascii="標楷體" w:eastAsia="標楷體" w:hAnsi="標楷體" w:hint="eastAsia"/>
          <w:sz w:val="20"/>
        </w:rPr>
        <w:t>9</w:t>
      </w:r>
      <w:r w:rsidRPr="00B87515">
        <w:rPr>
          <w:rFonts w:ascii="標楷體" w:eastAsia="標楷體" w:hAnsi="標楷體" w:hint="eastAsia"/>
          <w:sz w:val="20"/>
        </w:rPr>
        <w:t>次聯席會議</w:t>
      </w:r>
      <w:r>
        <w:rPr>
          <w:rFonts w:ascii="標楷體" w:eastAsia="標楷體" w:hAnsi="標楷體" w:hint="eastAsia"/>
          <w:sz w:val="20"/>
        </w:rPr>
        <w:t>追認</w:t>
      </w:r>
      <w:r w:rsidRPr="00B87515">
        <w:rPr>
          <w:rFonts w:ascii="標楷體" w:eastAsia="標楷體" w:hAnsi="標楷體" w:hint="eastAsia"/>
          <w:sz w:val="20"/>
        </w:rPr>
        <w:t>通過</w:t>
      </w:r>
    </w:p>
    <w:p w:rsidR="00B52968" w:rsidRDefault="00B52968" w:rsidP="00B52968">
      <w:pPr>
        <w:spacing w:line="240" w:lineRule="exact"/>
        <w:ind w:firstLineChars="400" w:firstLine="800"/>
        <w:rPr>
          <w:rFonts w:ascii="標楷體" w:eastAsia="標楷體" w:hAnsi="標楷體" w:hint="eastAsia"/>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5</w:t>
      </w:r>
      <w:r w:rsidRPr="00B87515">
        <w:rPr>
          <w:rFonts w:ascii="標楷體" w:eastAsia="標楷體" w:hAnsi="標楷體"/>
          <w:sz w:val="20"/>
        </w:rPr>
        <w:t>年</w:t>
      </w:r>
      <w:r>
        <w:rPr>
          <w:rFonts w:ascii="標楷體" w:eastAsia="標楷體" w:hAnsi="標楷體" w:hint="eastAsia"/>
          <w:sz w:val="20"/>
        </w:rPr>
        <w:t>8</w:t>
      </w:r>
      <w:r w:rsidRPr="00B87515">
        <w:rPr>
          <w:rFonts w:ascii="標楷體" w:eastAsia="標楷體" w:hAnsi="標楷體"/>
          <w:sz w:val="20"/>
        </w:rPr>
        <w:t>月</w:t>
      </w:r>
      <w:r>
        <w:rPr>
          <w:rFonts w:ascii="標楷體" w:eastAsia="標楷體" w:hAnsi="標楷體" w:hint="eastAsia"/>
          <w:sz w:val="20"/>
        </w:rPr>
        <w:t>19</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int="eastAsia"/>
          <w:sz w:val="20"/>
        </w:rPr>
        <w:t>5</w:t>
      </w:r>
      <w:r w:rsidRPr="00B87515">
        <w:rPr>
          <w:rFonts w:ascii="標楷體" w:eastAsia="標楷體" w:hAnsi="標楷體" w:hint="eastAsia"/>
          <w:sz w:val="20"/>
        </w:rPr>
        <w:t>屆理監事第1次聯席會議通過</w:t>
      </w:r>
    </w:p>
    <w:p w:rsidR="00B52968" w:rsidRDefault="00B52968" w:rsidP="00B52968">
      <w:pPr>
        <w:spacing w:line="240" w:lineRule="exact"/>
        <w:ind w:firstLineChars="400" w:firstLine="800"/>
        <w:rPr>
          <w:rFonts w:ascii="標楷體" w:eastAsia="標楷體" w:hAnsi="標楷體" w:hint="eastAsia"/>
          <w:sz w:val="20"/>
          <w:szCs w:val="24"/>
        </w:rPr>
      </w:pPr>
      <w:r w:rsidRPr="00D53A65">
        <w:rPr>
          <w:rFonts w:ascii="標楷體" w:eastAsia="標楷體" w:hAnsi="標楷體" w:hint="eastAsia"/>
          <w:sz w:val="20"/>
          <w:szCs w:val="24"/>
        </w:rPr>
        <w:t>中華民國105</w:t>
      </w:r>
      <w:r w:rsidRPr="00D53A65">
        <w:rPr>
          <w:rFonts w:ascii="標楷體" w:eastAsia="標楷體" w:hAnsi="標楷體"/>
          <w:sz w:val="20"/>
          <w:szCs w:val="24"/>
        </w:rPr>
        <w:t>年</w:t>
      </w:r>
      <w:r>
        <w:rPr>
          <w:rFonts w:ascii="標楷體" w:eastAsia="標楷體" w:hAnsi="標楷體" w:hint="eastAsia"/>
          <w:sz w:val="20"/>
          <w:szCs w:val="24"/>
        </w:rPr>
        <w:t>9</w:t>
      </w:r>
      <w:r w:rsidRPr="00D53A65">
        <w:rPr>
          <w:rFonts w:ascii="標楷體" w:eastAsia="標楷體" w:hAnsi="標楷體"/>
          <w:sz w:val="20"/>
          <w:szCs w:val="24"/>
        </w:rPr>
        <w:t>月</w:t>
      </w:r>
      <w:r>
        <w:rPr>
          <w:rFonts w:ascii="標楷體" w:eastAsia="標楷體" w:hAnsi="標楷體" w:hint="eastAsia"/>
          <w:sz w:val="20"/>
          <w:szCs w:val="24"/>
        </w:rPr>
        <w:t>1</w:t>
      </w:r>
      <w:r w:rsidRPr="00D53A65">
        <w:rPr>
          <w:rFonts w:ascii="標楷體" w:eastAsia="標楷體" w:hAnsi="標楷體"/>
          <w:sz w:val="20"/>
          <w:szCs w:val="24"/>
        </w:rPr>
        <w:t>日金融監督管理委</w:t>
      </w:r>
      <w:r w:rsidRPr="00D53A65">
        <w:rPr>
          <w:rFonts w:ascii="標楷體" w:eastAsia="標楷體" w:hAnsi="標楷體" w:hint="eastAsia"/>
          <w:sz w:val="20"/>
          <w:szCs w:val="24"/>
        </w:rPr>
        <w:t>員會金</w:t>
      </w:r>
      <w:proofErr w:type="gramStart"/>
      <w:r w:rsidRPr="00D53A65">
        <w:rPr>
          <w:rFonts w:ascii="標楷體" w:eastAsia="標楷體" w:hAnsi="標楷體" w:hint="eastAsia"/>
          <w:sz w:val="20"/>
          <w:szCs w:val="24"/>
        </w:rPr>
        <w:t>管證期字</w:t>
      </w:r>
      <w:proofErr w:type="gramEnd"/>
      <w:r w:rsidRPr="00D53A65">
        <w:rPr>
          <w:rFonts w:ascii="標楷體" w:eastAsia="標楷體" w:hAnsi="標楷體" w:hint="eastAsia"/>
          <w:sz w:val="20"/>
          <w:szCs w:val="24"/>
        </w:rPr>
        <w:t>第1</w:t>
      </w:r>
      <w:r w:rsidRPr="00D53A65">
        <w:rPr>
          <w:rFonts w:ascii="標楷體" w:eastAsia="標楷體" w:hAnsi="標楷體"/>
          <w:sz w:val="20"/>
          <w:szCs w:val="24"/>
        </w:rPr>
        <w:t>0</w:t>
      </w:r>
      <w:r w:rsidRPr="00D53A65">
        <w:rPr>
          <w:rFonts w:ascii="標楷體" w:eastAsia="標楷體" w:hAnsi="標楷體" w:hint="eastAsia"/>
          <w:sz w:val="20"/>
          <w:szCs w:val="24"/>
        </w:rPr>
        <w:t>5</w:t>
      </w:r>
      <w:r w:rsidRPr="00D53A65">
        <w:rPr>
          <w:rFonts w:ascii="標楷體" w:eastAsia="標楷體" w:hAnsi="標楷體"/>
          <w:sz w:val="20"/>
          <w:szCs w:val="24"/>
        </w:rPr>
        <w:t>00</w:t>
      </w:r>
      <w:r>
        <w:rPr>
          <w:rFonts w:ascii="標楷體" w:eastAsia="標楷體" w:hAnsi="標楷體" w:hint="eastAsia"/>
          <w:sz w:val="20"/>
          <w:szCs w:val="24"/>
        </w:rPr>
        <w:t>35911</w:t>
      </w:r>
      <w:r w:rsidRPr="00D53A65">
        <w:rPr>
          <w:rFonts w:ascii="標楷體" w:eastAsia="標楷體" w:hAnsi="標楷體"/>
          <w:sz w:val="20"/>
          <w:szCs w:val="24"/>
        </w:rPr>
        <w:t>號函准予照辦</w:t>
      </w:r>
    </w:p>
    <w:p w:rsidR="00B52968" w:rsidRDefault="00B52968" w:rsidP="00B52968">
      <w:pPr>
        <w:spacing w:line="240" w:lineRule="exact"/>
        <w:ind w:firstLineChars="400" w:firstLine="800"/>
        <w:rPr>
          <w:rFonts w:ascii="標楷體" w:eastAsia="標楷體" w:hAnsi="標楷體" w:hint="eastAsia"/>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6</w:t>
      </w:r>
      <w:r w:rsidRPr="00B87515">
        <w:rPr>
          <w:rFonts w:ascii="標楷體" w:eastAsia="標楷體" w:hAnsi="標楷體"/>
          <w:sz w:val="20"/>
        </w:rPr>
        <w:t>年</w:t>
      </w:r>
      <w:r>
        <w:rPr>
          <w:rFonts w:ascii="標楷體" w:eastAsia="標楷體" w:hAnsi="標楷體" w:hint="eastAsia"/>
          <w:sz w:val="20"/>
        </w:rPr>
        <w:t>4</w:t>
      </w:r>
      <w:r w:rsidRPr="00B87515">
        <w:rPr>
          <w:rFonts w:ascii="標楷體" w:eastAsia="標楷體" w:hAnsi="標楷體"/>
          <w:sz w:val="20"/>
        </w:rPr>
        <w:t>月</w:t>
      </w:r>
      <w:r w:rsidRPr="00B87515">
        <w:rPr>
          <w:rFonts w:ascii="標楷體" w:eastAsia="標楷體" w:hAnsi="標楷體" w:hint="eastAsia"/>
          <w:sz w:val="20"/>
        </w:rPr>
        <w:t>2</w:t>
      </w:r>
      <w:r>
        <w:rPr>
          <w:rFonts w:ascii="標楷體" w:eastAsia="標楷體" w:hAnsi="標楷體" w:hint="eastAsia"/>
          <w:sz w:val="20"/>
        </w:rPr>
        <w:t>1</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int="eastAsia"/>
          <w:sz w:val="20"/>
        </w:rPr>
        <w:t>5</w:t>
      </w:r>
      <w:r w:rsidRPr="00B87515">
        <w:rPr>
          <w:rFonts w:ascii="標楷體" w:eastAsia="標楷體" w:hAnsi="標楷體" w:hint="eastAsia"/>
          <w:sz w:val="20"/>
        </w:rPr>
        <w:t>屆理監事第</w:t>
      </w:r>
      <w:r>
        <w:rPr>
          <w:rFonts w:ascii="標楷體" w:eastAsia="標楷體" w:hAnsi="標楷體" w:hint="eastAsia"/>
          <w:sz w:val="20"/>
        </w:rPr>
        <w:t>5</w:t>
      </w:r>
      <w:r w:rsidRPr="00B87515">
        <w:rPr>
          <w:rFonts w:ascii="標楷體" w:eastAsia="標楷體" w:hAnsi="標楷體" w:hint="eastAsia"/>
          <w:sz w:val="20"/>
        </w:rPr>
        <w:t>次聯席會議通過</w:t>
      </w:r>
    </w:p>
    <w:p w:rsidR="00B52968" w:rsidRDefault="00B52968" w:rsidP="00B52968">
      <w:pPr>
        <w:spacing w:line="240" w:lineRule="exact"/>
        <w:ind w:firstLineChars="400" w:firstLine="800"/>
        <w:rPr>
          <w:rFonts w:ascii="標楷體" w:eastAsia="標楷體" w:hAnsi="標楷體" w:hint="eastAsia"/>
          <w:sz w:val="20"/>
          <w:szCs w:val="24"/>
        </w:rPr>
      </w:pPr>
      <w:r w:rsidRPr="00D53A65">
        <w:rPr>
          <w:rFonts w:ascii="標楷體" w:eastAsia="標楷體" w:hAnsi="標楷體" w:hint="eastAsia"/>
          <w:sz w:val="20"/>
          <w:szCs w:val="24"/>
        </w:rPr>
        <w:t>中華民國10</w:t>
      </w:r>
      <w:r>
        <w:rPr>
          <w:rFonts w:ascii="標楷體" w:eastAsia="標楷體" w:hAnsi="標楷體" w:hint="eastAsia"/>
          <w:sz w:val="20"/>
          <w:szCs w:val="24"/>
        </w:rPr>
        <w:t>6</w:t>
      </w:r>
      <w:r w:rsidRPr="00D53A65">
        <w:rPr>
          <w:rFonts w:ascii="標楷體" w:eastAsia="標楷體" w:hAnsi="標楷體"/>
          <w:sz w:val="20"/>
          <w:szCs w:val="24"/>
        </w:rPr>
        <w:t>年</w:t>
      </w:r>
      <w:r>
        <w:rPr>
          <w:rFonts w:ascii="標楷體" w:eastAsia="標楷體" w:hAnsi="標楷體" w:hint="eastAsia"/>
          <w:sz w:val="20"/>
          <w:szCs w:val="24"/>
        </w:rPr>
        <w:t>5</w:t>
      </w:r>
      <w:r w:rsidRPr="00D53A65">
        <w:rPr>
          <w:rFonts w:ascii="標楷體" w:eastAsia="標楷體" w:hAnsi="標楷體"/>
          <w:sz w:val="20"/>
          <w:szCs w:val="24"/>
        </w:rPr>
        <w:t>月</w:t>
      </w:r>
      <w:r>
        <w:rPr>
          <w:rFonts w:ascii="標楷體" w:eastAsia="標楷體" w:hAnsi="標楷體" w:hint="eastAsia"/>
          <w:sz w:val="20"/>
          <w:szCs w:val="24"/>
        </w:rPr>
        <w:t>9</w:t>
      </w:r>
      <w:r w:rsidRPr="00D53A65">
        <w:rPr>
          <w:rFonts w:ascii="標楷體" w:eastAsia="標楷體" w:hAnsi="標楷體"/>
          <w:sz w:val="20"/>
          <w:szCs w:val="24"/>
        </w:rPr>
        <w:t>日金融監督管理委</w:t>
      </w:r>
      <w:r w:rsidRPr="00D53A65">
        <w:rPr>
          <w:rFonts w:ascii="標楷體" w:eastAsia="標楷體" w:hAnsi="標楷體" w:hint="eastAsia"/>
          <w:sz w:val="20"/>
          <w:szCs w:val="24"/>
        </w:rPr>
        <w:t>員會金</w:t>
      </w:r>
      <w:proofErr w:type="gramStart"/>
      <w:r w:rsidRPr="00D53A65">
        <w:rPr>
          <w:rFonts w:ascii="標楷體" w:eastAsia="標楷體" w:hAnsi="標楷體" w:hint="eastAsia"/>
          <w:sz w:val="20"/>
          <w:szCs w:val="24"/>
        </w:rPr>
        <w:t>管證期字</w:t>
      </w:r>
      <w:proofErr w:type="gramEnd"/>
      <w:r w:rsidRPr="00D53A65">
        <w:rPr>
          <w:rFonts w:ascii="標楷體" w:eastAsia="標楷體" w:hAnsi="標楷體" w:hint="eastAsia"/>
          <w:sz w:val="20"/>
          <w:szCs w:val="24"/>
        </w:rPr>
        <w:t>第1</w:t>
      </w:r>
      <w:r w:rsidRPr="00D53A65">
        <w:rPr>
          <w:rFonts w:ascii="標楷體" w:eastAsia="標楷體" w:hAnsi="標楷體"/>
          <w:sz w:val="20"/>
          <w:szCs w:val="24"/>
        </w:rPr>
        <w:t>0</w:t>
      </w:r>
      <w:r>
        <w:rPr>
          <w:rFonts w:ascii="標楷體" w:eastAsia="標楷體" w:hAnsi="標楷體" w:hint="eastAsia"/>
          <w:sz w:val="20"/>
          <w:szCs w:val="24"/>
        </w:rPr>
        <w:t>6</w:t>
      </w:r>
      <w:r w:rsidRPr="00D53A65">
        <w:rPr>
          <w:rFonts w:ascii="標楷體" w:eastAsia="標楷體" w:hAnsi="標楷體"/>
          <w:sz w:val="20"/>
          <w:szCs w:val="24"/>
        </w:rPr>
        <w:t>00</w:t>
      </w:r>
      <w:r>
        <w:rPr>
          <w:rFonts w:ascii="標楷體" w:eastAsia="標楷體" w:hAnsi="標楷體" w:hint="eastAsia"/>
          <w:sz w:val="20"/>
          <w:szCs w:val="24"/>
        </w:rPr>
        <w:t>15460</w:t>
      </w:r>
      <w:r w:rsidRPr="00D53A65">
        <w:rPr>
          <w:rFonts w:ascii="標楷體" w:eastAsia="標楷體" w:hAnsi="標楷體"/>
          <w:sz w:val="20"/>
          <w:szCs w:val="24"/>
        </w:rPr>
        <w:t>號函准予照辦</w:t>
      </w:r>
    </w:p>
    <w:p w:rsidR="00B52968" w:rsidRDefault="00B52968" w:rsidP="00B52968">
      <w:pPr>
        <w:spacing w:line="240" w:lineRule="exact"/>
        <w:ind w:firstLineChars="400" w:firstLine="800"/>
        <w:rPr>
          <w:rFonts w:ascii="標楷體" w:eastAsia="標楷體" w:hAnsi="標楷體" w:hint="eastAsia"/>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7</w:t>
      </w:r>
      <w:r w:rsidRPr="00B87515">
        <w:rPr>
          <w:rFonts w:ascii="標楷體" w:eastAsia="標楷體" w:hAnsi="標楷體"/>
          <w:sz w:val="20"/>
        </w:rPr>
        <w:t>年</w:t>
      </w:r>
      <w:r>
        <w:rPr>
          <w:rFonts w:ascii="標楷體" w:eastAsia="標楷體" w:hAnsi="標楷體" w:hint="eastAsia"/>
          <w:sz w:val="20"/>
        </w:rPr>
        <w:t>10</w:t>
      </w:r>
      <w:r w:rsidRPr="00B87515">
        <w:rPr>
          <w:rFonts w:ascii="標楷體" w:eastAsia="標楷體" w:hAnsi="標楷體"/>
          <w:sz w:val="20"/>
        </w:rPr>
        <w:t>月</w:t>
      </w:r>
      <w:r>
        <w:rPr>
          <w:rFonts w:ascii="標楷體" w:eastAsia="標楷體" w:hAnsi="標楷體" w:hint="eastAsia"/>
          <w:sz w:val="20"/>
        </w:rPr>
        <w:t>19</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int="eastAsia"/>
          <w:sz w:val="20"/>
        </w:rPr>
        <w:t>5</w:t>
      </w:r>
      <w:r w:rsidRPr="00B87515">
        <w:rPr>
          <w:rFonts w:ascii="標楷體" w:eastAsia="標楷體" w:hAnsi="標楷體" w:hint="eastAsia"/>
          <w:sz w:val="20"/>
        </w:rPr>
        <w:t>屆理監事第</w:t>
      </w:r>
      <w:r>
        <w:rPr>
          <w:rFonts w:ascii="標楷體" w:eastAsia="標楷體" w:hAnsi="標楷體" w:hint="eastAsia"/>
          <w:sz w:val="20"/>
        </w:rPr>
        <w:t>14</w:t>
      </w:r>
      <w:r w:rsidRPr="00B87515">
        <w:rPr>
          <w:rFonts w:ascii="標楷體" w:eastAsia="標楷體" w:hAnsi="標楷體" w:hint="eastAsia"/>
          <w:sz w:val="20"/>
        </w:rPr>
        <w:t>次聯席會議通過</w:t>
      </w:r>
    </w:p>
    <w:p w:rsidR="00B52968" w:rsidRPr="00D53A65" w:rsidRDefault="00B52968" w:rsidP="00B52968">
      <w:pPr>
        <w:spacing w:line="240" w:lineRule="exact"/>
        <w:ind w:firstLineChars="400" w:firstLine="800"/>
        <w:rPr>
          <w:rFonts w:ascii="標楷體" w:eastAsia="標楷體" w:hAnsi="標楷體" w:hint="eastAsia"/>
          <w:sz w:val="20"/>
          <w:szCs w:val="24"/>
        </w:rPr>
      </w:pPr>
      <w:r>
        <w:rPr>
          <w:rFonts w:ascii="標楷體" w:eastAsia="標楷體" w:hAnsi="標楷體" w:hint="eastAsia"/>
          <w:sz w:val="20"/>
        </w:rPr>
        <w:t>中華民國</w:t>
      </w:r>
      <w:r>
        <w:rPr>
          <w:rFonts w:ascii="標楷體" w:eastAsia="標楷體" w:hint="eastAsia"/>
          <w:sz w:val="20"/>
        </w:rPr>
        <w:t>107</w:t>
      </w:r>
      <w:r>
        <w:rPr>
          <w:rFonts w:ascii="標楷體" w:eastAsia="標楷體" w:hAnsi="標楷體" w:hint="eastAsia"/>
          <w:sz w:val="20"/>
        </w:rPr>
        <w:t>年11月13日金融監督管理委員會金</w:t>
      </w:r>
      <w:proofErr w:type="gramStart"/>
      <w:r>
        <w:rPr>
          <w:rFonts w:ascii="標楷體" w:eastAsia="標楷體" w:hAnsi="標楷體" w:hint="eastAsia"/>
          <w:sz w:val="20"/>
        </w:rPr>
        <w:t>管證期字</w:t>
      </w:r>
      <w:proofErr w:type="gramEnd"/>
      <w:r>
        <w:rPr>
          <w:rFonts w:ascii="標楷體" w:eastAsia="標楷體" w:hAnsi="標楷體" w:hint="eastAsia"/>
          <w:sz w:val="20"/>
        </w:rPr>
        <w:t>第1</w:t>
      </w:r>
      <w:r>
        <w:rPr>
          <w:rFonts w:ascii="標楷體" w:eastAsia="標楷體" w:hint="eastAsia"/>
          <w:sz w:val="20"/>
        </w:rPr>
        <w:t>070339692</w:t>
      </w:r>
      <w:r>
        <w:rPr>
          <w:rFonts w:ascii="標楷體" w:eastAsia="標楷體" w:hAnsi="標楷體" w:hint="eastAsia"/>
          <w:sz w:val="20"/>
        </w:rPr>
        <w:t>號函同意照辦</w:t>
      </w:r>
    </w:p>
    <w:p w:rsidR="00B52968" w:rsidRPr="007A421E" w:rsidRDefault="00B52968" w:rsidP="00B52968">
      <w:pPr>
        <w:spacing w:line="240" w:lineRule="exact"/>
        <w:ind w:firstLineChars="300" w:firstLine="600"/>
        <w:rPr>
          <w:rFonts w:ascii="標楷體" w:eastAsia="標楷體" w:hAnsi="標楷體" w:hint="eastAsia"/>
          <w:sz w:val="20"/>
          <w:szCs w:val="24"/>
        </w:rPr>
      </w:pPr>
    </w:p>
    <w:p w:rsidR="00B52968" w:rsidRPr="00B449F2" w:rsidRDefault="00B52968" w:rsidP="00B52968">
      <w:pPr>
        <w:pStyle w:val="Layout"/>
        <w:tabs>
          <w:tab w:val="left" w:pos="672"/>
        </w:tabs>
        <w:snapToGrid w:val="0"/>
        <w:ind w:leftChars="-63" w:left="-151" w:firstLineChars="200" w:firstLine="560"/>
        <w:jc w:val="both"/>
        <w:rPr>
          <w:rFonts w:ascii="標楷體" w:eastAsia="標楷體" w:hAnsi="標楷體"/>
          <w:sz w:val="28"/>
          <w:szCs w:val="28"/>
        </w:rPr>
      </w:pPr>
      <w:r w:rsidRPr="00B449F2">
        <w:rPr>
          <w:rFonts w:ascii="標楷體" w:eastAsia="標楷體" w:hAnsi="標楷體"/>
          <w:sz w:val="28"/>
          <w:szCs w:val="28"/>
        </w:rPr>
        <w:t>第 一 章 總則</w:t>
      </w:r>
    </w:p>
    <w:p w:rsidR="00B52968" w:rsidRPr="00B449F2" w:rsidRDefault="00B52968" w:rsidP="00B52968">
      <w:pPr>
        <w:pStyle w:val="Layout"/>
        <w:numPr>
          <w:ilvl w:val="0"/>
          <w:numId w:val="1"/>
        </w:numPr>
        <w:tabs>
          <w:tab w:val="num" w:pos="1080"/>
        </w:tabs>
        <w:snapToGrid w:val="0"/>
        <w:ind w:left="1077" w:hanging="1230"/>
        <w:jc w:val="both"/>
        <w:rPr>
          <w:rFonts w:ascii="標楷體" w:eastAsia="標楷體" w:hAnsi="標楷體"/>
          <w:sz w:val="28"/>
          <w:szCs w:val="28"/>
        </w:rPr>
      </w:pPr>
      <w:r w:rsidRPr="00B449F2">
        <w:rPr>
          <w:rFonts w:ascii="標楷體" w:eastAsia="標楷體" w:hAnsi="標楷體"/>
          <w:sz w:val="28"/>
          <w:szCs w:val="28"/>
        </w:rPr>
        <w:t>本作業程序依</w:t>
      </w:r>
      <w:r w:rsidRPr="00B449F2">
        <w:rPr>
          <w:rFonts w:ascii="標楷體" w:eastAsia="標楷體" w:hAnsi="標楷體" w:hint="eastAsia"/>
          <w:sz w:val="28"/>
          <w:szCs w:val="28"/>
        </w:rPr>
        <w:t>期貨信託基金管理辦</w:t>
      </w:r>
      <w:r w:rsidRPr="00B449F2">
        <w:rPr>
          <w:rFonts w:ascii="標楷體" w:eastAsia="標楷體" w:hAnsi="標楷體"/>
          <w:sz w:val="28"/>
          <w:szCs w:val="28"/>
        </w:rPr>
        <w:t>法第</w:t>
      </w:r>
      <w:r w:rsidRPr="00B449F2">
        <w:rPr>
          <w:rFonts w:ascii="標楷體" w:eastAsia="標楷體" w:hAnsi="標楷體" w:hint="eastAsia"/>
          <w:sz w:val="28"/>
          <w:szCs w:val="28"/>
        </w:rPr>
        <w:t>五</w:t>
      </w:r>
      <w:r w:rsidRPr="00B449F2">
        <w:rPr>
          <w:rFonts w:ascii="標楷體" w:eastAsia="標楷體" w:hAnsi="標楷體"/>
          <w:sz w:val="28"/>
          <w:szCs w:val="28"/>
        </w:rPr>
        <w:t xml:space="preserve">條第二項規定訂定。 </w:t>
      </w:r>
    </w:p>
    <w:p w:rsidR="00B52968" w:rsidRPr="00B449F2" w:rsidRDefault="00B52968" w:rsidP="00B52968">
      <w:pPr>
        <w:pStyle w:val="Layout"/>
        <w:numPr>
          <w:ilvl w:val="0"/>
          <w:numId w:val="1"/>
        </w:numPr>
        <w:tabs>
          <w:tab w:val="num" w:pos="1080"/>
        </w:tabs>
        <w:snapToGrid w:val="0"/>
        <w:ind w:left="1080" w:hanging="1232"/>
        <w:jc w:val="both"/>
        <w:rPr>
          <w:rFonts w:hint="eastAsia"/>
        </w:rPr>
      </w:pPr>
      <w:r w:rsidRPr="00B449F2">
        <w:rPr>
          <w:rFonts w:ascii="標楷體" w:eastAsia="標楷體" w:hAnsi="標楷體" w:hint="eastAsia"/>
          <w:sz w:val="28"/>
          <w:szCs w:val="28"/>
        </w:rPr>
        <w:t>期貨信託事業及其委任之基金銷售機構辦理期貨信託基金之募集、發行、銷售及其申購或買回作業，應依本作業程序及其他相關法令之規定辦理。</w:t>
      </w:r>
    </w:p>
    <w:p w:rsidR="00B52968" w:rsidRPr="00B449F2" w:rsidRDefault="00B52968" w:rsidP="00B52968">
      <w:pPr>
        <w:pStyle w:val="Layout"/>
        <w:snapToGrid w:val="0"/>
        <w:ind w:leftChars="459" w:left="1102"/>
        <w:jc w:val="both"/>
        <w:rPr>
          <w:rFonts w:hint="eastAsia"/>
        </w:rPr>
      </w:pPr>
      <w:r w:rsidRPr="00B449F2">
        <w:rPr>
          <w:rFonts w:ascii="標楷體" w:eastAsia="標楷體" w:hAnsi="標楷體" w:cs="細明體"/>
          <w:sz w:val="28"/>
          <w:szCs w:val="28"/>
        </w:rPr>
        <w:t>指數股票型</w:t>
      </w:r>
      <w:r w:rsidRPr="00B449F2">
        <w:rPr>
          <w:rFonts w:ascii="標楷體" w:eastAsia="標楷體" w:hAnsi="標楷體" w:cs="細明體" w:hint="eastAsia"/>
          <w:sz w:val="28"/>
          <w:szCs w:val="28"/>
        </w:rPr>
        <w:t>期貨</w:t>
      </w:r>
      <w:r w:rsidRPr="00B449F2">
        <w:rPr>
          <w:rFonts w:ascii="標楷體" w:eastAsia="標楷體" w:hAnsi="標楷體" w:cs="細明體"/>
          <w:sz w:val="28"/>
          <w:szCs w:val="28"/>
        </w:rPr>
        <w:t>信託基金之募集、發行、上市</w:t>
      </w:r>
      <w:r w:rsidRPr="00B449F2">
        <w:rPr>
          <w:rFonts w:ascii="標楷體" w:eastAsia="標楷體" w:hAnsi="標楷體" w:cs="細明體" w:hint="eastAsia"/>
          <w:sz w:val="28"/>
          <w:szCs w:val="28"/>
        </w:rPr>
        <w:t>櫃</w:t>
      </w:r>
      <w:r w:rsidRPr="00B449F2">
        <w:rPr>
          <w:rFonts w:ascii="標楷體" w:eastAsia="標楷體" w:hAnsi="標楷體" w:cs="細明體"/>
          <w:sz w:val="28"/>
          <w:szCs w:val="28"/>
        </w:rPr>
        <w:t>及買賣作業，應依本作業程序、臺灣證券交易所股份有限公司（以下簡稱證券交易所）</w:t>
      </w:r>
      <w:r w:rsidRPr="00B449F2">
        <w:rPr>
          <w:rFonts w:ascii="標楷體" w:eastAsia="標楷體" w:hAnsi="標楷體" w:hint="eastAsia"/>
          <w:sz w:val="28"/>
        </w:rPr>
        <w:t>、</w:t>
      </w:r>
      <w:r w:rsidRPr="00B449F2">
        <w:rPr>
          <w:rFonts w:ascii="標楷體" w:eastAsia="標楷體" w:hAnsi="標楷體"/>
          <w:sz w:val="28"/>
          <w:szCs w:val="24"/>
        </w:rPr>
        <w:t>財團法人中華民國證券櫃檯買賣中心</w:t>
      </w:r>
      <w:r w:rsidRPr="00B449F2">
        <w:rPr>
          <w:rFonts w:ascii="標楷體" w:eastAsia="標楷體" w:hAnsi="標楷體" w:hint="eastAsia"/>
          <w:sz w:val="28"/>
        </w:rPr>
        <w:t>（以下簡稱證券櫃檯買賣中心）</w:t>
      </w:r>
      <w:r w:rsidRPr="00B449F2">
        <w:rPr>
          <w:rFonts w:ascii="標楷體" w:eastAsia="標楷體" w:hAnsi="標楷體" w:cs="細明體"/>
          <w:sz w:val="28"/>
          <w:szCs w:val="28"/>
        </w:rPr>
        <w:t>及相關法令之規定辦理。</w:t>
      </w:r>
      <w:r w:rsidRPr="00B449F2">
        <w:rPr>
          <w:rFonts w:hint="eastAsia"/>
        </w:rPr>
        <w:t xml:space="preserve">        </w:t>
      </w:r>
    </w:p>
    <w:p w:rsidR="00B52968" w:rsidRPr="00B449F2" w:rsidRDefault="00B52968" w:rsidP="00B52968">
      <w:pPr>
        <w:pStyle w:val="Layout"/>
        <w:numPr>
          <w:ilvl w:val="0"/>
          <w:numId w:val="1"/>
        </w:numPr>
        <w:tabs>
          <w:tab w:val="num" w:pos="1080"/>
        </w:tabs>
        <w:snapToGrid w:val="0"/>
        <w:ind w:left="1077" w:hanging="1230"/>
        <w:jc w:val="both"/>
        <w:rPr>
          <w:rFonts w:ascii="標楷體" w:eastAsia="標楷體" w:hAnsi="標楷體" w:hint="eastAsia"/>
          <w:sz w:val="28"/>
          <w:szCs w:val="28"/>
        </w:rPr>
      </w:pPr>
      <w:r w:rsidRPr="00B449F2">
        <w:rPr>
          <w:rFonts w:ascii="標楷體" w:eastAsia="標楷體" w:hAnsi="標楷體"/>
          <w:sz w:val="28"/>
          <w:szCs w:val="28"/>
        </w:rPr>
        <w:t>期貨信託事業於國外募集期貨信託基金，除應依</w:t>
      </w:r>
      <w:r w:rsidRPr="00B449F2">
        <w:rPr>
          <w:rFonts w:ascii="標楷體" w:eastAsia="標楷體" w:hAnsi="標楷體" w:hint="eastAsia"/>
          <w:sz w:val="28"/>
          <w:szCs w:val="28"/>
        </w:rPr>
        <w:t>期貨信託基金管理辦法</w:t>
      </w:r>
      <w:r w:rsidRPr="00B449F2">
        <w:rPr>
          <w:rFonts w:ascii="標楷體" w:eastAsia="標楷體" w:hAnsi="標楷體"/>
          <w:sz w:val="28"/>
          <w:szCs w:val="28"/>
        </w:rPr>
        <w:t>有關規定向金融監督管理委員會（以下簡稱</w:t>
      </w:r>
      <w:r w:rsidRPr="00B449F2">
        <w:rPr>
          <w:rFonts w:ascii="標楷體" w:eastAsia="標楷體" w:hAnsi="標楷體" w:hint="eastAsia"/>
          <w:sz w:val="28"/>
          <w:szCs w:val="28"/>
        </w:rPr>
        <w:t>金管會</w:t>
      </w:r>
      <w:r w:rsidRPr="00B449F2">
        <w:rPr>
          <w:rFonts w:ascii="標楷體" w:eastAsia="標楷體" w:hAnsi="標楷體"/>
          <w:sz w:val="28"/>
          <w:szCs w:val="28"/>
        </w:rPr>
        <w:t>）提出申請核准外，關於基金之銷售、申購、買回或於國外證券市場之上市買賣等事宜，應依募集地國主管機關或其他有關法令之規定辦理，其追加募集亦同。</w:t>
      </w:r>
    </w:p>
    <w:p w:rsidR="00B52968" w:rsidRPr="00B449F2" w:rsidRDefault="00B52968" w:rsidP="00B52968">
      <w:pPr>
        <w:pStyle w:val="Layout"/>
        <w:numPr>
          <w:ilvl w:val="0"/>
          <w:numId w:val="1"/>
        </w:numPr>
        <w:tabs>
          <w:tab w:val="num" w:pos="1080"/>
        </w:tabs>
        <w:snapToGrid w:val="0"/>
        <w:ind w:left="1080" w:hanging="1232"/>
        <w:jc w:val="both"/>
        <w:rPr>
          <w:rFonts w:ascii="標楷體" w:eastAsia="標楷體" w:hAnsi="標楷體" w:hint="eastAsia"/>
          <w:sz w:val="28"/>
          <w:szCs w:val="28"/>
        </w:rPr>
      </w:pPr>
      <w:r w:rsidRPr="00B449F2">
        <w:rPr>
          <w:rFonts w:ascii="標楷體" w:eastAsia="標楷體" w:hAnsi="標楷體" w:hint="eastAsia"/>
          <w:sz w:val="28"/>
          <w:szCs w:val="28"/>
        </w:rPr>
        <w:t>期貨信託事業、基金銷售機構及其經理人或受雇人，應以善良管理人之注意義務及忠實義務，本誠實信用原則，辦理期貨信託基金之募集、發行、銷售及其申購或買回業務。前項事業及其人員於辦理期貨信託基金之募集、發行、銷售及其申購或買回業務時，對於期貨信託基金客戶之個人資料、往來交易資料及其他相關資料，除法令另有規定外，應保守秘密。</w:t>
      </w:r>
    </w:p>
    <w:p w:rsidR="00B52968" w:rsidRPr="00B449F2" w:rsidRDefault="00B52968" w:rsidP="00B52968">
      <w:pPr>
        <w:pStyle w:val="Layout"/>
        <w:numPr>
          <w:ilvl w:val="0"/>
          <w:numId w:val="1"/>
        </w:numPr>
        <w:tabs>
          <w:tab w:val="num" w:pos="1080"/>
        </w:tabs>
        <w:snapToGrid w:val="0"/>
        <w:ind w:left="1080" w:hanging="1232"/>
        <w:jc w:val="both"/>
        <w:rPr>
          <w:rFonts w:ascii="標楷體" w:eastAsia="標楷體" w:hAnsi="標楷體" w:hint="eastAsia"/>
          <w:sz w:val="28"/>
          <w:szCs w:val="28"/>
        </w:rPr>
      </w:pPr>
      <w:r w:rsidRPr="00B449F2">
        <w:rPr>
          <w:rFonts w:ascii="標楷體" w:eastAsia="標楷體" w:hAnsi="標楷體" w:hint="eastAsia"/>
          <w:sz w:val="28"/>
          <w:szCs w:val="28"/>
        </w:rPr>
        <w:t>期貨信託事業及基金銷售機構對於一定金額以上或疑似洗錢之基金交易，其申購、買回或轉換應留存完整正確之交易紀錄及憑證，並應依洗錢防制法規定辦理。</w:t>
      </w:r>
    </w:p>
    <w:p w:rsidR="00B52968" w:rsidRPr="00B449F2" w:rsidRDefault="00B52968" w:rsidP="00B52968">
      <w:pPr>
        <w:pStyle w:val="Layout"/>
        <w:tabs>
          <w:tab w:val="left" w:pos="672"/>
        </w:tabs>
        <w:snapToGrid w:val="0"/>
        <w:ind w:left="-152"/>
        <w:jc w:val="both"/>
        <w:rPr>
          <w:rFonts w:ascii="標楷體" w:eastAsia="標楷體" w:hAnsi="標楷體"/>
          <w:sz w:val="28"/>
          <w:szCs w:val="28"/>
        </w:rPr>
      </w:pPr>
      <w:r w:rsidRPr="00B449F2">
        <w:rPr>
          <w:rFonts w:ascii="標楷體" w:eastAsia="標楷體" w:hAnsi="標楷體" w:hint="eastAsia"/>
          <w:sz w:val="28"/>
          <w:szCs w:val="28"/>
        </w:rPr>
        <w:lastRenderedPageBreak/>
        <w:tab/>
      </w:r>
      <w:r w:rsidRPr="00B449F2">
        <w:rPr>
          <w:rFonts w:ascii="標楷體" w:eastAsia="標楷體" w:hAnsi="標楷體"/>
          <w:sz w:val="28"/>
          <w:szCs w:val="28"/>
        </w:rPr>
        <w:t>第 二 章 基金之募集、發行、銷售及申購</w:t>
      </w:r>
    </w:p>
    <w:p w:rsidR="00B52968" w:rsidRPr="00B449F2" w:rsidRDefault="00B52968" w:rsidP="00B52968">
      <w:pPr>
        <w:pStyle w:val="Layout"/>
        <w:numPr>
          <w:ilvl w:val="0"/>
          <w:numId w:val="1"/>
        </w:numPr>
        <w:tabs>
          <w:tab w:val="num" w:pos="1080"/>
        </w:tabs>
        <w:snapToGrid w:val="0"/>
        <w:ind w:left="1080" w:hanging="1232"/>
        <w:jc w:val="both"/>
        <w:rPr>
          <w:rFonts w:ascii="標楷體" w:eastAsia="標楷體" w:hAnsi="標楷體" w:hint="eastAsia"/>
          <w:sz w:val="28"/>
          <w:szCs w:val="28"/>
        </w:rPr>
      </w:pPr>
      <w:r w:rsidRPr="00B449F2">
        <w:rPr>
          <w:rFonts w:ascii="標楷體" w:eastAsia="標楷體" w:hAnsi="標楷體" w:hint="eastAsia"/>
          <w:sz w:val="28"/>
          <w:szCs w:val="28"/>
        </w:rPr>
        <w:t>期貨信託事業對不特定人募集期貨信託基金，應於期貨信託基金經</w:t>
      </w:r>
      <w:r w:rsidRPr="00B449F2">
        <w:rPr>
          <w:rFonts w:ascii="標楷體" w:eastAsia="標楷體" w:hAnsi="標楷體" w:hint="eastAsia"/>
          <w:sz w:val="28"/>
          <w:szCs w:val="28"/>
          <w:lang w:val="zh-TW"/>
        </w:rPr>
        <w:t>金管會</w:t>
      </w:r>
      <w:r w:rsidRPr="00B449F2">
        <w:rPr>
          <w:rFonts w:ascii="標楷體" w:eastAsia="標楷體" w:hAnsi="標楷體" w:hint="eastAsia"/>
          <w:sz w:val="28"/>
          <w:szCs w:val="28"/>
        </w:rPr>
        <w:t>核准後，開始募集前</w:t>
      </w:r>
      <w:proofErr w:type="gramStart"/>
      <w:r w:rsidRPr="00B449F2">
        <w:rPr>
          <w:rFonts w:ascii="標楷體" w:eastAsia="標楷體" w:hAnsi="標楷體" w:hint="eastAsia"/>
          <w:sz w:val="28"/>
          <w:szCs w:val="28"/>
        </w:rPr>
        <w:t>於期信基金</w:t>
      </w:r>
      <w:proofErr w:type="gramEnd"/>
      <w:r w:rsidRPr="00B449F2">
        <w:rPr>
          <w:rFonts w:ascii="標楷體" w:eastAsia="標楷體" w:hAnsi="標楷體" w:hint="eastAsia"/>
          <w:sz w:val="28"/>
          <w:szCs w:val="28"/>
        </w:rPr>
        <w:t>資訊觀測站辦理公告。</w:t>
      </w:r>
    </w:p>
    <w:p w:rsidR="00B52968" w:rsidRPr="00B449F2" w:rsidRDefault="00B52968" w:rsidP="00B52968">
      <w:pPr>
        <w:pStyle w:val="Layout"/>
        <w:snapToGrid w:val="0"/>
        <w:ind w:leftChars="450" w:left="1080"/>
        <w:jc w:val="both"/>
        <w:rPr>
          <w:rFonts w:ascii="標楷體" w:eastAsia="標楷體" w:hAnsi="標楷體" w:hint="eastAsia"/>
          <w:sz w:val="28"/>
          <w:szCs w:val="28"/>
        </w:rPr>
      </w:pPr>
      <w:r w:rsidRPr="00B449F2">
        <w:rPr>
          <w:rFonts w:ascii="標楷體" w:eastAsia="標楷體" w:hAnsi="標楷體" w:hint="eastAsia"/>
          <w:sz w:val="28"/>
          <w:szCs w:val="28"/>
        </w:rPr>
        <w:t>前項公告內容，應記載下列事項：</w:t>
      </w:r>
    </w:p>
    <w:p w:rsidR="00B52968" w:rsidRPr="00B449F2" w:rsidRDefault="00B52968" w:rsidP="00B52968">
      <w:pPr>
        <w:pStyle w:val="Layout"/>
        <w:snapToGrid w:val="0"/>
        <w:ind w:leftChars="450" w:left="1632" w:hangingChars="197" w:hanging="552"/>
        <w:jc w:val="both"/>
        <w:rPr>
          <w:rFonts w:ascii="標楷體" w:eastAsia="標楷體" w:hAnsi="標楷體" w:hint="eastAsia"/>
          <w:sz w:val="28"/>
          <w:szCs w:val="28"/>
        </w:rPr>
      </w:pPr>
      <w:r w:rsidRPr="00B449F2">
        <w:rPr>
          <w:rFonts w:ascii="標楷體" w:eastAsia="標楷體" w:hAnsi="標楷體" w:hint="eastAsia"/>
          <w:sz w:val="28"/>
          <w:szCs w:val="28"/>
        </w:rPr>
        <w:t>一、金管會核准之日期及文號。</w:t>
      </w:r>
    </w:p>
    <w:p w:rsidR="00B52968" w:rsidRPr="00B449F2" w:rsidRDefault="00B52968" w:rsidP="00B52968">
      <w:pPr>
        <w:pStyle w:val="Layout"/>
        <w:snapToGrid w:val="0"/>
        <w:ind w:leftChars="450" w:left="1632" w:hangingChars="197" w:hanging="552"/>
        <w:jc w:val="both"/>
        <w:rPr>
          <w:rFonts w:ascii="標楷體" w:eastAsia="標楷體" w:hAnsi="標楷體" w:hint="eastAsia"/>
          <w:sz w:val="28"/>
          <w:szCs w:val="28"/>
        </w:rPr>
      </w:pPr>
      <w:r w:rsidRPr="00B449F2">
        <w:rPr>
          <w:rFonts w:ascii="標楷體" w:eastAsia="標楷體" w:hAnsi="標楷體" w:hint="eastAsia"/>
          <w:sz w:val="28"/>
          <w:szCs w:val="28"/>
        </w:rPr>
        <w:t>二、期貨信託事業之名稱、電話及地址。</w:t>
      </w:r>
    </w:p>
    <w:p w:rsidR="00B52968" w:rsidRPr="00B449F2" w:rsidRDefault="00B52968" w:rsidP="00B52968">
      <w:pPr>
        <w:pStyle w:val="Layout"/>
        <w:snapToGrid w:val="0"/>
        <w:ind w:leftChars="450" w:left="1632" w:hangingChars="197" w:hanging="552"/>
        <w:jc w:val="both"/>
        <w:rPr>
          <w:rFonts w:ascii="標楷體" w:eastAsia="標楷體" w:hAnsi="標楷體" w:hint="eastAsia"/>
          <w:sz w:val="28"/>
          <w:szCs w:val="28"/>
        </w:rPr>
      </w:pPr>
      <w:r w:rsidRPr="00B449F2">
        <w:rPr>
          <w:rFonts w:ascii="標楷體" w:eastAsia="標楷體" w:hAnsi="標楷體" w:hint="eastAsia"/>
          <w:sz w:val="28"/>
          <w:szCs w:val="28"/>
        </w:rPr>
        <w:t>三、銷售機構總行或總公司之名稱、電話及地址。</w:t>
      </w:r>
    </w:p>
    <w:p w:rsidR="00B52968" w:rsidRPr="00B449F2" w:rsidRDefault="00B52968" w:rsidP="00B52968">
      <w:pPr>
        <w:pStyle w:val="Layout"/>
        <w:snapToGrid w:val="0"/>
        <w:ind w:leftChars="450" w:left="1632" w:hangingChars="197" w:hanging="552"/>
        <w:jc w:val="both"/>
        <w:rPr>
          <w:rFonts w:ascii="標楷體" w:eastAsia="標楷體" w:hAnsi="標楷體" w:hint="eastAsia"/>
          <w:sz w:val="28"/>
          <w:szCs w:val="28"/>
        </w:rPr>
      </w:pPr>
      <w:r w:rsidRPr="00B449F2">
        <w:rPr>
          <w:rFonts w:ascii="標楷體" w:eastAsia="標楷體" w:hAnsi="標楷體" w:hint="eastAsia"/>
          <w:sz w:val="28"/>
          <w:szCs w:val="28"/>
        </w:rPr>
        <w:t>四、基金保管機構之名稱及信用評等等級。信託業兼營期貨信託事業經金管會核准得自行保管基金資產者，應載明信託監察人之姓名或名稱。</w:t>
      </w:r>
    </w:p>
    <w:p w:rsidR="00B52968" w:rsidRPr="00B449F2" w:rsidRDefault="00B52968" w:rsidP="00B52968">
      <w:pPr>
        <w:pStyle w:val="Layout"/>
        <w:snapToGrid w:val="0"/>
        <w:ind w:leftChars="450" w:left="1632" w:hangingChars="197" w:hanging="552"/>
        <w:jc w:val="both"/>
        <w:rPr>
          <w:rFonts w:ascii="標楷體" w:eastAsia="標楷體" w:hAnsi="標楷體" w:hint="eastAsia"/>
          <w:sz w:val="28"/>
          <w:szCs w:val="28"/>
        </w:rPr>
      </w:pPr>
      <w:r w:rsidRPr="00B449F2">
        <w:rPr>
          <w:rFonts w:ascii="標楷體" w:eastAsia="標楷體" w:hAnsi="標楷體" w:hint="eastAsia"/>
          <w:sz w:val="28"/>
          <w:szCs w:val="28"/>
        </w:rPr>
        <w:t>五、期貨信託基金之名稱、種類、型態、投資基本方針及範圍。</w:t>
      </w:r>
    </w:p>
    <w:p w:rsidR="00B52968" w:rsidRPr="00B449F2" w:rsidRDefault="00B52968" w:rsidP="00B52968">
      <w:pPr>
        <w:pStyle w:val="Layout"/>
        <w:snapToGrid w:val="0"/>
        <w:ind w:leftChars="450" w:left="1632" w:hangingChars="197" w:hanging="552"/>
        <w:jc w:val="both"/>
        <w:rPr>
          <w:rFonts w:ascii="標楷體" w:eastAsia="標楷體" w:hAnsi="標楷體" w:hint="eastAsia"/>
          <w:sz w:val="28"/>
          <w:szCs w:val="28"/>
        </w:rPr>
      </w:pPr>
      <w:r w:rsidRPr="00B449F2">
        <w:rPr>
          <w:rFonts w:ascii="標楷體" w:eastAsia="標楷體" w:hAnsi="標楷體" w:hint="eastAsia"/>
          <w:sz w:val="28"/>
          <w:szCs w:val="28"/>
        </w:rPr>
        <w:t>六、期貨信託基金開始受理申購及每營業日受理申購截止時間。</w:t>
      </w:r>
    </w:p>
    <w:p w:rsidR="00B52968" w:rsidRPr="00B449F2" w:rsidRDefault="00B52968" w:rsidP="00B52968">
      <w:pPr>
        <w:pStyle w:val="Layout"/>
        <w:snapToGrid w:val="0"/>
        <w:ind w:leftChars="450" w:left="1632" w:hangingChars="197" w:hanging="552"/>
        <w:jc w:val="both"/>
        <w:rPr>
          <w:rFonts w:ascii="標楷體" w:eastAsia="標楷體" w:hAnsi="標楷體" w:hint="eastAsia"/>
          <w:sz w:val="28"/>
          <w:szCs w:val="28"/>
        </w:rPr>
      </w:pPr>
      <w:r w:rsidRPr="00B449F2">
        <w:rPr>
          <w:rFonts w:ascii="標楷體" w:eastAsia="標楷體" w:hAnsi="標楷體" w:hint="eastAsia"/>
          <w:sz w:val="28"/>
          <w:szCs w:val="28"/>
        </w:rPr>
        <w:t>七、客戶應負擔的各項費用及金額或計算基準之表列。</w:t>
      </w:r>
    </w:p>
    <w:p w:rsidR="00B52968" w:rsidRPr="00B449F2" w:rsidRDefault="00B52968" w:rsidP="00B52968">
      <w:pPr>
        <w:pStyle w:val="Layout"/>
        <w:snapToGrid w:val="0"/>
        <w:ind w:leftChars="450" w:left="1632" w:hangingChars="197" w:hanging="552"/>
        <w:jc w:val="both"/>
        <w:rPr>
          <w:rFonts w:ascii="標楷體" w:eastAsia="標楷體" w:hAnsi="標楷體" w:hint="eastAsia"/>
          <w:sz w:val="28"/>
          <w:szCs w:val="28"/>
        </w:rPr>
      </w:pPr>
      <w:r w:rsidRPr="00B449F2">
        <w:rPr>
          <w:rFonts w:ascii="標楷體" w:eastAsia="標楷體" w:hAnsi="標楷體" w:hint="eastAsia"/>
          <w:sz w:val="28"/>
          <w:szCs w:val="28"/>
        </w:rPr>
        <w:t>八、期貨信託基金最高淨發行總面額及受益權單位總數。</w:t>
      </w:r>
    </w:p>
    <w:p w:rsidR="00B52968" w:rsidRPr="00B449F2" w:rsidRDefault="00B52968" w:rsidP="00B52968">
      <w:pPr>
        <w:pStyle w:val="Layout"/>
        <w:snapToGrid w:val="0"/>
        <w:ind w:leftChars="450" w:left="1632" w:hangingChars="197" w:hanging="552"/>
        <w:jc w:val="both"/>
        <w:rPr>
          <w:rFonts w:ascii="標楷體" w:eastAsia="標楷體" w:hAnsi="標楷體" w:hint="eastAsia"/>
          <w:sz w:val="28"/>
          <w:szCs w:val="28"/>
        </w:rPr>
      </w:pPr>
      <w:r w:rsidRPr="00B449F2">
        <w:rPr>
          <w:rFonts w:ascii="標楷體" w:eastAsia="標楷體" w:hAnsi="標楷體" w:hint="eastAsia"/>
          <w:sz w:val="28"/>
          <w:szCs w:val="28"/>
        </w:rPr>
        <w:t>九、期貨信託基金每受益權單位發行價格。</w:t>
      </w:r>
    </w:p>
    <w:p w:rsidR="00B52968" w:rsidRPr="00B449F2" w:rsidRDefault="00B52968" w:rsidP="00B52968">
      <w:pPr>
        <w:pStyle w:val="Layout"/>
        <w:snapToGrid w:val="0"/>
        <w:ind w:leftChars="450" w:left="1632" w:hangingChars="197" w:hanging="552"/>
        <w:jc w:val="both"/>
        <w:rPr>
          <w:rFonts w:ascii="標楷體" w:eastAsia="標楷體" w:hAnsi="標楷體" w:hint="eastAsia"/>
          <w:sz w:val="28"/>
          <w:szCs w:val="28"/>
        </w:rPr>
      </w:pPr>
      <w:r w:rsidRPr="00B449F2">
        <w:rPr>
          <w:rFonts w:ascii="標楷體" w:eastAsia="標楷體" w:hAnsi="標楷體" w:hint="eastAsia"/>
          <w:sz w:val="28"/>
          <w:szCs w:val="28"/>
        </w:rPr>
        <w:t>十、最低申購金額。</w:t>
      </w:r>
    </w:p>
    <w:p w:rsidR="00B52968" w:rsidRPr="00B449F2" w:rsidRDefault="00B52968" w:rsidP="00B52968">
      <w:pPr>
        <w:pStyle w:val="Layout"/>
        <w:snapToGrid w:val="0"/>
        <w:ind w:leftChars="450" w:left="1917" w:hangingChars="299" w:hanging="837"/>
        <w:jc w:val="both"/>
        <w:rPr>
          <w:rFonts w:ascii="標楷體" w:eastAsia="標楷體" w:hAnsi="標楷體" w:hint="eastAsia"/>
          <w:sz w:val="28"/>
          <w:szCs w:val="28"/>
        </w:rPr>
      </w:pPr>
      <w:r w:rsidRPr="00B449F2">
        <w:rPr>
          <w:rFonts w:ascii="標楷體" w:eastAsia="標楷體" w:hAnsi="標楷體" w:hint="eastAsia"/>
          <w:sz w:val="28"/>
          <w:szCs w:val="28"/>
        </w:rPr>
        <w:t>十一、申購價金之計算（含發行價格及申購手續費）。</w:t>
      </w:r>
    </w:p>
    <w:p w:rsidR="00B52968" w:rsidRPr="00B449F2" w:rsidRDefault="00B52968" w:rsidP="00B52968">
      <w:pPr>
        <w:pStyle w:val="Layout"/>
        <w:snapToGrid w:val="0"/>
        <w:ind w:leftChars="450" w:left="1080"/>
        <w:jc w:val="both"/>
        <w:rPr>
          <w:rFonts w:ascii="標楷體" w:eastAsia="標楷體" w:hAnsi="標楷體" w:hint="eastAsia"/>
          <w:sz w:val="28"/>
          <w:szCs w:val="28"/>
        </w:rPr>
      </w:pPr>
      <w:r w:rsidRPr="00B449F2">
        <w:rPr>
          <w:rFonts w:ascii="標楷體" w:eastAsia="標楷體" w:hAnsi="標楷體" w:hint="eastAsia"/>
          <w:sz w:val="28"/>
          <w:szCs w:val="28"/>
        </w:rPr>
        <w:t>十二、申購</w:t>
      </w:r>
      <w:proofErr w:type="gramStart"/>
      <w:r w:rsidRPr="00B449F2">
        <w:rPr>
          <w:rFonts w:ascii="標楷體" w:eastAsia="標楷體" w:hAnsi="標楷體" w:hint="eastAsia"/>
          <w:sz w:val="28"/>
          <w:szCs w:val="28"/>
        </w:rPr>
        <w:t>手續及價金</w:t>
      </w:r>
      <w:proofErr w:type="gramEnd"/>
      <w:r w:rsidRPr="00B449F2">
        <w:rPr>
          <w:rFonts w:ascii="標楷體" w:eastAsia="標楷體" w:hAnsi="標楷體" w:hint="eastAsia"/>
          <w:sz w:val="28"/>
          <w:szCs w:val="28"/>
        </w:rPr>
        <w:t>給付方式。</w:t>
      </w:r>
    </w:p>
    <w:p w:rsidR="00B52968" w:rsidRPr="00B449F2" w:rsidRDefault="00B52968" w:rsidP="00B52968">
      <w:pPr>
        <w:pStyle w:val="Layout"/>
        <w:snapToGrid w:val="0"/>
        <w:ind w:leftChars="450" w:left="1917" w:hangingChars="299" w:hanging="837"/>
        <w:jc w:val="both"/>
        <w:rPr>
          <w:rFonts w:ascii="標楷體" w:eastAsia="標楷體" w:hAnsi="標楷體" w:hint="eastAsia"/>
          <w:sz w:val="28"/>
          <w:szCs w:val="28"/>
        </w:rPr>
      </w:pPr>
      <w:r w:rsidRPr="00B449F2">
        <w:rPr>
          <w:rFonts w:ascii="標楷體" w:eastAsia="標楷體" w:hAnsi="標楷體" w:hint="eastAsia"/>
          <w:sz w:val="28"/>
          <w:szCs w:val="28"/>
        </w:rPr>
        <w:t>十三、公開說明書之分送方式或取閱地點。</w:t>
      </w:r>
    </w:p>
    <w:p w:rsidR="00B52968" w:rsidRPr="00B449F2" w:rsidRDefault="00B52968" w:rsidP="00B52968">
      <w:pPr>
        <w:pStyle w:val="Layout"/>
        <w:snapToGrid w:val="0"/>
        <w:ind w:leftChars="450" w:left="1917" w:hangingChars="299" w:hanging="837"/>
        <w:jc w:val="both"/>
        <w:rPr>
          <w:rFonts w:ascii="標楷體" w:eastAsia="標楷體" w:hAnsi="標楷體" w:hint="eastAsia"/>
          <w:sz w:val="28"/>
          <w:szCs w:val="28"/>
        </w:rPr>
      </w:pPr>
      <w:r w:rsidRPr="00B449F2">
        <w:rPr>
          <w:rFonts w:ascii="標楷體" w:eastAsia="標楷體" w:hAnsi="標楷體" w:hint="eastAsia"/>
          <w:sz w:val="28"/>
          <w:szCs w:val="28"/>
        </w:rPr>
        <w:t>十四、投資風險警語。</w:t>
      </w:r>
    </w:p>
    <w:p w:rsidR="00B52968" w:rsidRPr="00B449F2" w:rsidRDefault="00B52968" w:rsidP="00B52968">
      <w:pPr>
        <w:pStyle w:val="Layout"/>
        <w:tabs>
          <w:tab w:val="left" w:pos="672"/>
        </w:tabs>
        <w:snapToGrid w:val="0"/>
        <w:ind w:leftChars="450" w:left="1917" w:hangingChars="299" w:hanging="837"/>
        <w:jc w:val="both"/>
        <w:rPr>
          <w:rFonts w:ascii="標楷體" w:eastAsia="標楷體" w:hAnsi="標楷體" w:hint="eastAsia"/>
          <w:sz w:val="28"/>
          <w:szCs w:val="28"/>
        </w:rPr>
      </w:pPr>
      <w:r w:rsidRPr="00B449F2">
        <w:rPr>
          <w:rFonts w:ascii="標楷體" w:eastAsia="標楷體" w:hAnsi="標楷體" w:hint="eastAsia"/>
          <w:sz w:val="28"/>
          <w:szCs w:val="28"/>
        </w:rPr>
        <w:t>十五、其他金管會為保護公益及客戶規定應補充揭露事項。</w:t>
      </w:r>
    </w:p>
    <w:p w:rsidR="00B52968" w:rsidRPr="00B449F2" w:rsidRDefault="00B52968" w:rsidP="00B52968">
      <w:pPr>
        <w:pStyle w:val="Layout"/>
        <w:numPr>
          <w:ilvl w:val="0"/>
          <w:numId w:val="1"/>
        </w:numPr>
        <w:tabs>
          <w:tab w:val="num" w:pos="1080"/>
        </w:tabs>
        <w:snapToGrid w:val="0"/>
        <w:ind w:left="1080" w:hanging="1232"/>
        <w:jc w:val="both"/>
        <w:rPr>
          <w:rFonts w:ascii="標楷體" w:eastAsia="標楷體" w:hAnsi="標楷體" w:hint="eastAsia"/>
          <w:sz w:val="28"/>
          <w:szCs w:val="28"/>
        </w:rPr>
      </w:pPr>
      <w:r w:rsidRPr="00B449F2">
        <w:rPr>
          <w:rFonts w:ascii="標楷體" w:eastAsia="標楷體" w:hAnsi="標楷體" w:hint="eastAsia"/>
          <w:sz w:val="28"/>
          <w:szCs w:val="28"/>
        </w:rPr>
        <w:t>期貨信託事業募集期貨信託基金，應於開始募集三日前，將公開說明書之電子檔案向金管會指定之資訊申報網站進行傳輸。</w:t>
      </w:r>
    </w:p>
    <w:p w:rsidR="00B52968" w:rsidRPr="00B449F2" w:rsidRDefault="00B52968" w:rsidP="00B52968">
      <w:pPr>
        <w:pStyle w:val="Layout"/>
        <w:numPr>
          <w:ilvl w:val="0"/>
          <w:numId w:val="1"/>
        </w:numPr>
        <w:tabs>
          <w:tab w:val="num" w:pos="1080"/>
        </w:tabs>
        <w:snapToGrid w:val="0"/>
        <w:ind w:left="1080" w:hanging="1232"/>
        <w:jc w:val="both"/>
        <w:rPr>
          <w:rFonts w:ascii="標楷體" w:eastAsia="標楷體" w:hAnsi="標楷體" w:hint="eastAsia"/>
          <w:sz w:val="28"/>
          <w:szCs w:val="28"/>
        </w:rPr>
      </w:pPr>
      <w:r w:rsidRPr="00B449F2">
        <w:rPr>
          <w:rFonts w:ascii="標楷體" w:eastAsia="標楷體" w:hAnsi="標楷體" w:hint="eastAsia"/>
          <w:sz w:val="28"/>
          <w:szCs w:val="28"/>
        </w:rPr>
        <w:t>期貨信託事業經核發營業執照後，除他業兼營期貨信託事業者外，首次申請募集之期貨信託基金應自開始募集日起四十五日內募集成立。</w:t>
      </w:r>
    </w:p>
    <w:p w:rsidR="00B52968" w:rsidRPr="00B449F2" w:rsidRDefault="00B52968" w:rsidP="00B52968">
      <w:pPr>
        <w:pStyle w:val="Layout"/>
        <w:snapToGrid w:val="0"/>
        <w:ind w:leftChars="450" w:left="1080"/>
        <w:jc w:val="both"/>
        <w:rPr>
          <w:rFonts w:ascii="標楷體" w:eastAsia="標楷體" w:hAnsi="標楷體" w:hint="eastAsia"/>
          <w:sz w:val="28"/>
          <w:szCs w:val="28"/>
        </w:rPr>
      </w:pPr>
      <w:r w:rsidRPr="00B449F2">
        <w:rPr>
          <w:rFonts w:ascii="標楷體" w:eastAsia="標楷體" w:hAnsi="標楷體" w:hint="eastAsia"/>
          <w:sz w:val="28"/>
          <w:szCs w:val="28"/>
        </w:rPr>
        <w:t>期貨信託事業對不特定人募集之期貨信託基金，除前項情形者外，應自開始募集日起三十日內募集成立。</w:t>
      </w:r>
    </w:p>
    <w:p w:rsidR="00B52968" w:rsidRPr="00B449F2" w:rsidRDefault="00B52968" w:rsidP="00B52968">
      <w:pPr>
        <w:pStyle w:val="Layout"/>
        <w:snapToGrid w:val="0"/>
        <w:ind w:leftChars="450" w:left="1080"/>
        <w:jc w:val="both"/>
        <w:rPr>
          <w:rFonts w:ascii="標楷體" w:eastAsia="標楷體" w:hAnsi="標楷體" w:hint="eastAsia"/>
          <w:sz w:val="28"/>
          <w:szCs w:val="28"/>
        </w:rPr>
      </w:pPr>
      <w:r w:rsidRPr="00B449F2">
        <w:rPr>
          <w:rFonts w:ascii="標楷體" w:eastAsia="標楷體" w:hAnsi="標楷體" w:hint="eastAsia"/>
          <w:sz w:val="28"/>
          <w:szCs w:val="28"/>
        </w:rPr>
        <w:t>期貨信託基金於前二項規定之</w:t>
      </w:r>
      <w:proofErr w:type="gramStart"/>
      <w:r w:rsidRPr="00B449F2">
        <w:rPr>
          <w:rFonts w:ascii="標楷體" w:eastAsia="標楷體" w:hAnsi="標楷體" w:hint="eastAsia"/>
          <w:sz w:val="28"/>
          <w:szCs w:val="28"/>
        </w:rPr>
        <w:t>期間，</w:t>
      </w:r>
      <w:proofErr w:type="gramEnd"/>
      <w:r w:rsidRPr="00B449F2">
        <w:rPr>
          <w:rFonts w:ascii="標楷體" w:eastAsia="標楷體" w:hAnsi="標楷體" w:hint="eastAsia"/>
          <w:sz w:val="28"/>
          <w:szCs w:val="28"/>
        </w:rPr>
        <w:t>募足最低淨發行總面額，應由期貨信託事業檢具清冊（包括受益憑證申購人姓名、受益權單位數及金額）、受益憑證價款繳款總金額達期貨信託基金最低募集金額之銀行存款證明，於受益憑證價款繳納完成日起五日內，向金管會申報。對符合一定資格條件之人募集期貨信託基金，除上述</w:t>
      </w:r>
      <w:proofErr w:type="gramStart"/>
      <w:r w:rsidRPr="00B449F2">
        <w:rPr>
          <w:rFonts w:ascii="標楷體" w:eastAsia="標楷體" w:hAnsi="標楷體" w:hint="eastAsia"/>
          <w:sz w:val="28"/>
          <w:szCs w:val="28"/>
        </w:rPr>
        <w:t>書件外</w:t>
      </w:r>
      <w:proofErr w:type="gramEnd"/>
      <w:r w:rsidRPr="00B449F2">
        <w:rPr>
          <w:rFonts w:ascii="標楷體" w:eastAsia="標楷體" w:hAnsi="標楷體" w:hint="eastAsia"/>
          <w:sz w:val="28"/>
          <w:szCs w:val="28"/>
        </w:rPr>
        <w:t>，向金管會申報時，另需檢具受益人符合期貨信託基金管理辦法第十三條第一項所定資格條件之聲明書。募足最高淨發行總面額時應向本公會申報轉報金管會。</w:t>
      </w:r>
    </w:p>
    <w:p w:rsidR="00B52968" w:rsidRPr="00B449F2" w:rsidRDefault="00B52968" w:rsidP="00B52968">
      <w:pPr>
        <w:pStyle w:val="Layout"/>
        <w:snapToGrid w:val="0"/>
        <w:ind w:leftChars="450" w:left="1080"/>
        <w:jc w:val="both"/>
        <w:rPr>
          <w:rFonts w:ascii="標楷體" w:eastAsia="標楷體" w:hAnsi="標楷體" w:hint="eastAsia"/>
          <w:sz w:val="28"/>
          <w:szCs w:val="28"/>
        </w:rPr>
      </w:pPr>
      <w:r w:rsidRPr="00B449F2">
        <w:rPr>
          <w:rFonts w:ascii="標楷體" w:eastAsia="標楷體" w:hAnsi="標楷體" w:hint="eastAsia"/>
          <w:sz w:val="28"/>
          <w:szCs w:val="28"/>
        </w:rPr>
        <w:t>期貨信託基金於第一項及第二項期間內募集之受益憑證淨發行總面額未達最高淨發行總面額部分，於該期間屆滿後仍得繼續發行受益憑證銷售之。</w:t>
      </w:r>
    </w:p>
    <w:p w:rsidR="00B52968" w:rsidRPr="00B449F2" w:rsidRDefault="00B52968" w:rsidP="00B52968">
      <w:pPr>
        <w:pStyle w:val="Layout"/>
        <w:snapToGrid w:val="0"/>
        <w:ind w:leftChars="450" w:left="1080"/>
        <w:jc w:val="both"/>
        <w:rPr>
          <w:rFonts w:ascii="標楷體" w:eastAsia="標楷體" w:hAnsi="標楷體" w:hint="eastAsia"/>
          <w:sz w:val="28"/>
          <w:szCs w:val="28"/>
        </w:rPr>
      </w:pPr>
      <w:r w:rsidRPr="00B449F2">
        <w:rPr>
          <w:rFonts w:ascii="標楷體" w:eastAsia="標楷體" w:hAnsi="標楷體" w:hint="eastAsia"/>
          <w:sz w:val="28"/>
          <w:szCs w:val="28"/>
        </w:rPr>
        <w:lastRenderedPageBreak/>
        <w:t>期貨信託事業對不特定人募集期貨信託基金，</w:t>
      </w:r>
      <w:r w:rsidRPr="004348A9">
        <w:rPr>
          <w:rFonts w:ascii="標楷體" w:eastAsia="標楷體" w:hAnsi="標楷體" w:cs="細明體"/>
          <w:sz w:val="28"/>
          <w:szCs w:val="28"/>
        </w:rPr>
        <w:t>除主管機關另有規定外，申請日前五個營業日平均已發行單位</w:t>
      </w:r>
      <w:proofErr w:type="gramStart"/>
      <w:r w:rsidRPr="004348A9">
        <w:rPr>
          <w:rFonts w:ascii="標楷體" w:eastAsia="標楷體" w:hAnsi="標楷體" w:cs="細明體"/>
          <w:sz w:val="28"/>
          <w:szCs w:val="28"/>
        </w:rPr>
        <w:t>數占原申請</w:t>
      </w:r>
      <w:proofErr w:type="gramEnd"/>
      <w:r w:rsidRPr="004348A9">
        <w:rPr>
          <w:rFonts w:ascii="標楷體" w:eastAsia="標楷體" w:hAnsi="標楷體" w:cs="細明體"/>
          <w:sz w:val="28"/>
          <w:szCs w:val="28"/>
        </w:rPr>
        <w:t>核准發行單位數之比率達百分之八十以上者，得</w:t>
      </w:r>
      <w:r w:rsidRPr="004348A9">
        <w:rPr>
          <w:rFonts w:ascii="標楷體" w:eastAsia="標楷體" w:hAnsi="標楷體" w:hint="eastAsia"/>
          <w:sz w:val="28"/>
          <w:szCs w:val="28"/>
        </w:rPr>
        <w:t>申請</w:t>
      </w:r>
      <w:r w:rsidRPr="00EE05E2">
        <w:rPr>
          <w:rFonts w:ascii="標楷體" w:eastAsia="標楷體" w:hAnsi="標楷體" w:cs="細明體"/>
          <w:sz w:val="28"/>
          <w:szCs w:val="28"/>
        </w:rPr>
        <w:t>追加募集</w:t>
      </w:r>
      <w:r w:rsidRPr="00EE05E2">
        <w:rPr>
          <w:rFonts w:ascii="標楷體" w:eastAsia="標楷體" w:hAnsi="標楷體" w:cs="細明體" w:hint="eastAsia"/>
          <w:sz w:val="28"/>
          <w:szCs w:val="28"/>
        </w:rPr>
        <w:t>。</w:t>
      </w:r>
    </w:p>
    <w:p w:rsidR="00B52968" w:rsidRPr="00B449F2" w:rsidRDefault="00B52968" w:rsidP="00B52968">
      <w:pPr>
        <w:pStyle w:val="Layout"/>
        <w:snapToGrid w:val="0"/>
        <w:ind w:left="1123" w:hanging="1276"/>
        <w:jc w:val="both"/>
        <w:rPr>
          <w:rFonts w:ascii="標楷體" w:eastAsia="標楷體" w:hAnsi="標楷體" w:hint="eastAsia"/>
          <w:sz w:val="28"/>
          <w:szCs w:val="28"/>
        </w:rPr>
      </w:pPr>
      <w:r w:rsidRPr="00B449F2">
        <w:rPr>
          <w:rFonts w:ascii="標楷體" w:eastAsia="標楷體" w:hAnsi="標楷體" w:hint="eastAsia"/>
          <w:sz w:val="28"/>
          <w:szCs w:val="28"/>
        </w:rPr>
        <w:t>第九條   對不特定人募集之期貨信託基金，期貨信託事業得自行銷售或委任符合期貨信託基金管理辦法所定資格條件之期貨經紀商、期貨顧問事業、銀行、信託業、證券經紀商、證券投資顧問事業</w:t>
      </w:r>
      <w:r w:rsidRPr="00B449F2">
        <w:rPr>
          <w:rFonts w:ascii="標楷體" w:eastAsia="標楷體" w:hAnsi="標楷體" w:hint="eastAsia"/>
          <w:sz w:val="28"/>
        </w:rPr>
        <w:t>、人身保險業</w:t>
      </w:r>
      <w:r w:rsidRPr="00B449F2">
        <w:rPr>
          <w:rFonts w:ascii="標楷體" w:eastAsia="標楷體" w:hAnsi="標楷體" w:hint="eastAsia"/>
          <w:sz w:val="28"/>
          <w:szCs w:val="28"/>
        </w:rPr>
        <w:t>及其他經金管會核定之機構，擔任基金銷售機構辦理基金銷售事宜。</w:t>
      </w:r>
    </w:p>
    <w:p w:rsidR="00B52968" w:rsidRPr="00B449F2" w:rsidRDefault="00B52968" w:rsidP="00B52968">
      <w:pPr>
        <w:pStyle w:val="Layout"/>
        <w:snapToGrid w:val="0"/>
        <w:ind w:leftChars="470" w:left="1128"/>
        <w:jc w:val="both"/>
        <w:rPr>
          <w:rFonts w:ascii="標楷體" w:eastAsia="標楷體" w:hAnsi="標楷體" w:hint="eastAsia"/>
          <w:sz w:val="28"/>
          <w:szCs w:val="28"/>
        </w:rPr>
      </w:pPr>
      <w:r w:rsidRPr="00B449F2">
        <w:rPr>
          <w:rFonts w:ascii="標楷體" w:eastAsia="標楷體" w:hAnsi="標楷體" w:hint="eastAsia"/>
          <w:sz w:val="28"/>
          <w:szCs w:val="28"/>
        </w:rPr>
        <w:t>信託業擔任前項基金銷售機構者，得與客戶簽訂特定金錢信託契約為之。</w:t>
      </w:r>
    </w:p>
    <w:p w:rsidR="00B52968" w:rsidRPr="00B449F2" w:rsidRDefault="00B52968" w:rsidP="00B52968">
      <w:pPr>
        <w:pStyle w:val="Layout"/>
        <w:snapToGrid w:val="0"/>
        <w:ind w:leftChars="470" w:left="1128"/>
        <w:jc w:val="both"/>
        <w:rPr>
          <w:rFonts w:ascii="標楷體" w:eastAsia="標楷體" w:hAnsi="標楷體" w:hint="eastAsia"/>
          <w:strike/>
          <w:sz w:val="28"/>
          <w:szCs w:val="28"/>
        </w:rPr>
      </w:pPr>
      <w:r w:rsidRPr="00B449F2">
        <w:rPr>
          <w:rFonts w:ascii="標楷體" w:eastAsia="標楷體" w:hAnsi="標楷體" w:hint="eastAsia"/>
          <w:sz w:val="28"/>
          <w:szCs w:val="28"/>
        </w:rPr>
        <w:t>基金銷售機構除依特定金錢信託方式或經金管會核准者外，不得以自己名義為客戶申購期貨信託基金。</w:t>
      </w:r>
    </w:p>
    <w:p w:rsidR="00B52968" w:rsidRPr="001E5241" w:rsidRDefault="00B52968" w:rsidP="00B52968">
      <w:pPr>
        <w:pStyle w:val="Layout"/>
        <w:snapToGrid w:val="0"/>
        <w:ind w:leftChars="-63" w:left="1686" w:hangingChars="656" w:hanging="1837"/>
        <w:jc w:val="both"/>
        <w:rPr>
          <w:rFonts w:ascii="標楷體" w:eastAsia="標楷體" w:hAnsi="標楷體" w:hint="eastAsia"/>
          <w:sz w:val="28"/>
          <w:szCs w:val="28"/>
        </w:rPr>
      </w:pPr>
      <w:r w:rsidRPr="001E5241">
        <w:rPr>
          <w:rFonts w:ascii="標楷體" w:eastAsia="標楷體" w:hAnsi="標楷體" w:hint="eastAsia"/>
          <w:sz w:val="28"/>
          <w:szCs w:val="28"/>
        </w:rPr>
        <w:t>第九條之</w:t>
      </w:r>
      <w:proofErr w:type="gramStart"/>
      <w:r w:rsidRPr="001E5241">
        <w:rPr>
          <w:rFonts w:ascii="標楷體" w:eastAsia="標楷體" w:hAnsi="標楷體" w:hint="eastAsia"/>
          <w:sz w:val="28"/>
          <w:szCs w:val="28"/>
        </w:rPr>
        <w:t>一</w:t>
      </w:r>
      <w:proofErr w:type="gramEnd"/>
      <w:r w:rsidRPr="001E5241">
        <w:rPr>
          <w:rFonts w:ascii="標楷體" w:eastAsia="標楷體" w:hAnsi="標楷體" w:hint="eastAsia"/>
          <w:sz w:val="28"/>
          <w:szCs w:val="28"/>
        </w:rPr>
        <w:t xml:space="preserve">   </w:t>
      </w:r>
      <w:r w:rsidRPr="001E5241">
        <w:rPr>
          <w:rFonts w:ascii="標楷體" w:eastAsia="標楷體" w:hAnsi="標楷體"/>
          <w:sz w:val="28"/>
          <w:szCs w:val="28"/>
        </w:rPr>
        <w:t>證券經紀商以基金款項收付專戶為投資人申購</w:t>
      </w:r>
      <w:r w:rsidRPr="001E5241">
        <w:rPr>
          <w:rFonts w:ascii="標楷體" w:eastAsia="標楷體" w:hAnsi="標楷體" w:hint="eastAsia"/>
          <w:sz w:val="28"/>
          <w:szCs w:val="28"/>
        </w:rPr>
        <w:t>期貨</w:t>
      </w:r>
      <w:r w:rsidRPr="001E5241">
        <w:rPr>
          <w:rFonts w:ascii="標楷體" w:eastAsia="標楷體" w:hAnsi="標楷體"/>
          <w:sz w:val="28"/>
          <w:szCs w:val="28"/>
        </w:rPr>
        <w:t>信託基金</w:t>
      </w:r>
      <w:r w:rsidRPr="001E5241">
        <w:rPr>
          <w:rFonts w:ascii="標楷體" w:eastAsia="標楷體" w:hAnsi="標楷體" w:cs="Arial"/>
          <w:sz w:val="28"/>
          <w:szCs w:val="28"/>
          <w:shd w:val="clear" w:color="auto" w:fill="FFFFFF"/>
        </w:rPr>
        <w:t>或透過證券集中保管事業指定之銀行專戶辦理款項</w:t>
      </w:r>
      <w:proofErr w:type="gramStart"/>
      <w:r w:rsidRPr="001E5241">
        <w:rPr>
          <w:rFonts w:ascii="標楷體" w:eastAsia="標楷體" w:hAnsi="標楷體" w:cs="Arial"/>
          <w:sz w:val="28"/>
          <w:szCs w:val="28"/>
          <w:shd w:val="clear" w:color="auto" w:fill="FFFFFF"/>
        </w:rPr>
        <w:t>收付</w:t>
      </w:r>
      <w:r w:rsidRPr="001E5241">
        <w:rPr>
          <w:rFonts w:ascii="標楷體" w:eastAsia="標楷體" w:hAnsi="標楷體"/>
          <w:sz w:val="28"/>
          <w:szCs w:val="28"/>
        </w:rPr>
        <w:t>者</w:t>
      </w:r>
      <w:proofErr w:type="gramEnd"/>
      <w:r w:rsidRPr="001E5241">
        <w:rPr>
          <w:rFonts w:ascii="標楷體" w:eastAsia="標楷體" w:hAnsi="標楷體"/>
          <w:sz w:val="28"/>
          <w:szCs w:val="28"/>
        </w:rPr>
        <w:t>，應先經投資人同意，始得以自己名義為投資人申購</w:t>
      </w:r>
      <w:r w:rsidRPr="001E5241">
        <w:rPr>
          <w:rFonts w:ascii="標楷體" w:eastAsia="標楷體" w:hAnsi="標楷體" w:hint="eastAsia"/>
          <w:sz w:val="28"/>
          <w:szCs w:val="28"/>
        </w:rPr>
        <w:t>期貨</w:t>
      </w:r>
      <w:r w:rsidRPr="001E5241">
        <w:rPr>
          <w:rFonts w:ascii="標楷體" w:eastAsia="標楷體" w:hAnsi="標楷體"/>
          <w:sz w:val="28"/>
          <w:szCs w:val="28"/>
        </w:rPr>
        <w:t>信託基金，並應與證券集中保管事業簽訂契約，以辦理投資人申購、買回、轉換、孳息分派、清算等事項之資訊傳輸</w:t>
      </w:r>
      <w:r w:rsidRPr="001E5241">
        <w:rPr>
          <w:rFonts w:ascii="標楷體" w:eastAsia="標楷體" w:hAnsi="標楷體" w:hint="eastAsia"/>
          <w:sz w:val="28"/>
          <w:szCs w:val="28"/>
        </w:rPr>
        <w:t>及款項之收</w:t>
      </w:r>
      <w:r w:rsidRPr="001E5241">
        <w:rPr>
          <w:rFonts w:ascii="標楷體" w:eastAsia="標楷體" w:hAnsi="標楷體" w:hint="eastAsia"/>
          <w:sz w:val="28"/>
          <w:szCs w:val="24"/>
        </w:rPr>
        <w:t>付</w:t>
      </w:r>
      <w:r w:rsidRPr="001E5241">
        <w:rPr>
          <w:rFonts w:ascii="標楷體" w:eastAsia="標楷體" w:hAnsi="標楷體"/>
          <w:sz w:val="28"/>
          <w:szCs w:val="24"/>
        </w:rPr>
        <w:t>。</w:t>
      </w:r>
    </w:p>
    <w:p w:rsidR="00B52968" w:rsidRPr="00B449F2" w:rsidRDefault="00B52968" w:rsidP="00B52968">
      <w:pPr>
        <w:pStyle w:val="Layout"/>
        <w:snapToGrid w:val="0"/>
        <w:ind w:left="1123" w:hanging="1276"/>
        <w:jc w:val="both"/>
        <w:rPr>
          <w:rFonts w:ascii="標楷體" w:eastAsia="標楷體" w:hAnsi="標楷體" w:hint="eastAsia"/>
          <w:sz w:val="28"/>
          <w:szCs w:val="28"/>
        </w:rPr>
      </w:pPr>
      <w:r w:rsidRPr="00B449F2">
        <w:rPr>
          <w:rFonts w:ascii="標楷體" w:eastAsia="標楷體" w:hAnsi="標楷體" w:hint="eastAsia"/>
          <w:sz w:val="28"/>
          <w:szCs w:val="28"/>
        </w:rPr>
        <w:t xml:space="preserve">第十條  </w:t>
      </w:r>
      <w:r>
        <w:rPr>
          <w:rFonts w:ascii="標楷體" w:eastAsia="標楷體" w:hAnsi="標楷體" w:hint="eastAsia"/>
          <w:sz w:val="28"/>
          <w:szCs w:val="28"/>
        </w:rPr>
        <w:t xml:space="preserve"> </w:t>
      </w:r>
      <w:r w:rsidRPr="00B449F2">
        <w:rPr>
          <w:rFonts w:ascii="標楷體" w:eastAsia="標楷體" w:hAnsi="標楷體" w:hint="eastAsia"/>
          <w:sz w:val="28"/>
          <w:szCs w:val="28"/>
        </w:rPr>
        <w:t>期貨信託事業委任基金銷售機構辦理基金銷售業務，應與基金銷售機構簽訂銷售契約，載明雙方權利與義務。</w:t>
      </w:r>
    </w:p>
    <w:p w:rsidR="00B52968" w:rsidRPr="00B449F2" w:rsidRDefault="00B52968" w:rsidP="00B52968">
      <w:pPr>
        <w:pStyle w:val="Layout"/>
        <w:snapToGrid w:val="0"/>
        <w:ind w:leftChars="470" w:left="1128"/>
        <w:jc w:val="both"/>
        <w:rPr>
          <w:rFonts w:ascii="標楷體" w:eastAsia="標楷體" w:hAnsi="標楷體" w:hint="eastAsia"/>
          <w:sz w:val="28"/>
          <w:szCs w:val="28"/>
        </w:rPr>
      </w:pPr>
      <w:r w:rsidRPr="00B449F2">
        <w:rPr>
          <w:rFonts w:ascii="標楷體" w:eastAsia="標楷體" w:hAnsi="標楷體" w:hint="eastAsia"/>
          <w:sz w:val="28"/>
          <w:szCs w:val="28"/>
        </w:rPr>
        <w:t>前項銷售契約應載明下列事項：</w:t>
      </w:r>
    </w:p>
    <w:p w:rsidR="00B52968" w:rsidRPr="00B449F2" w:rsidRDefault="00B52968" w:rsidP="00B52968">
      <w:pPr>
        <w:pStyle w:val="Layout"/>
        <w:snapToGrid w:val="0"/>
        <w:ind w:leftChars="470" w:left="1386" w:hangingChars="92" w:hanging="258"/>
        <w:jc w:val="both"/>
        <w:rPr>
          <w:rFonts w:ascii="標楷體" w:eastAsia="標楷體" w:hAnsi="標楷體" w:hint="eastAsia"/>
          <w:sz w:val="28"/>
          <w:szCs w:val="28"/>
        </w:rPr>
      </w:pPr>
      <w:r w:rsidRPr="00B449F2">
        <w:rPr>
          <w:rFonts w:ascii="標楷體" w:eastAsia="標楷體" w:hAnsi="標楷體" w:hint="eastAsia"/>
          <w:sz w:val="28"/>
          <w:szCs w:val="28"/>
        </w:rPr>
        <w:t>一、期貨信託事業及基金銷售機構之名稱、地址及負責人姓名。</w:t>
      </w:r>
    </w:p>
    <w:p w:rsidR="00B52968" w:rsidRPr="00B449F2" w:rsidRDefault="00B52968" w:rsidP="00B52968">
      <w:pPr>
        <w:pStyle w:val="Layout"/>
        <w:snapToGrid w:val="0"/>
        <w:ind w:leftChars="470" w:left="1386" w:hangingChars="92" w:hanging="258"/>
        <w:jc w:val="both"/>
        <w:rPr>
          <w:rFonts w:ascii="標楷體" w:eastAsia="標楷體" w:hAnsi="標楷體" w:hint="eastAsia"/>
          <w:sz w:val="28"/>
          <w:szCs w:val="28"/>
        </w:rPr>
      </w:pPr>
      <w:r w:rsidRPr="00B449F2">
        <w:rPr>
          <w:rFonts w:ascii="標楷體" w:eastAsia="標楷體" w:hAnsi="標楷體" w:hint="eastAsia"/>
          <w:sz w:val="28"/>
          <w:szCs w:val="28"/>
        </w:rPr>
        <w:t>二、期貨信託事業及基金銷售機構之權利、義務及責任歸屬。</w:t>
      </w:r>
    </w:p>
    <w:p w:rsidR="00B52968" w:rsidRPr="00B449F2" w:rsidRDefault="00B52968" w:rsidP="00B52968">
      <w:pPr>
        <w:pStyle w:val="Layout"/>
        <w:snapToGrid w:val="0"/>
        <w:ind w:leftChars="470" w:left="1688" w:hangingChars="200" w:hanging="560"/>
        <w:jc w:val="both"/>
        <w:rPr>
          <w:rFonts w:ascii="標楷體" w:eastAsia="標楷體" w:hAnsi="標楷體" w:hint="eastAsia"/>
          <w:sz w:val="28"/>
          <w:szCs w:val="28"/>
        </w:rPr>
      </w:pPr>
      <w:r w:rsidRPr="00B449F2">
        <w:rPr>
          <w:rFonts w:ascii="標楷體" w:eastAsia="標楷體" w:hAnsi="標楷體" w:hint="eastAsia"/>
          <w:sz w:val="28"/>
          <w:szCs w:val="28"/>
        </w:rPr>
        <w:t>三、基金銷售機構及其人員辦理期貨信託基金銷售業務，應遵守期貨信託基金之募集、發行、銷售、廣告及其申購或買回之相關法令及本公會自律規範規定。對於銷售機構或銷售人員（包含推廣、銷售、風險告知等人員）之違法情事，期貨信託事業或期貨信託基金銷售機構應通知本公會，由本公會依自律規範予以處理。</w:t>
      </w:r>
    </w:p>
    <w:p w:rsidR="00B52968" w:rsidRPr="00B449F2" w:rsidRDefault="00B52968" w:rsidP="00B52968">
      <w:pPr>
        <w:pStyle w:val="Layout"/>
        <w:snapToGrid w:val="0"/>
        <w:ind w:leftChars="470" w:left="1688" w:hangingChars="200" w:hanging="560"/>
        <w:jc w:val="both"/>
        <w:rPr>
          <w:rFonts w:ascii="標楷體" w:eastAsia="標楷體" w:hAnsi="標楷體" w:hint="eastAsia"/>
          <w:sz w:val="28"/>
          <w:szCs w:val="28"/>
        </w:rPr>
      </w:pPr>
      <w:r w:rsidRPr="00B449F2">
        <w:rPr>
          <w:rFonts w:ascii="標楷體" w:eastAsia="標楷體" w:hAnsi="標楷體" w:hint="eastAsia"/>
          <w:sz w:val="28"/>
          <w:szCs w:val="28"/>
        </w:rPr>
        <w:t>四、期貨信託事業委任基金銷售機構辦理事項。</w:t>
      </w:r>
    </w:p>
    <w:p w:rsidR="00B52968" w:rsidRPr="00B449F2" w:rsidRDefault="00B52968" w:rsidP="00B52968">
      <w:pPr>
        <w:pStyle w:val="Layout"/>
        <w:snapToGrid w:val="0"/>
        <w:ind w:leftChars="470" w:left="1688" w:hangingChars="200" w:hanging="560"/>
        <w:jc w:val="both"/>
        <w:rPr>
          <w:rFonts w:ascii="標楷體" w:eastAsia="標楷體" w:hAnsi="標楷體" w:hint="eastAsia"/>
          <w:sz w:val="28"/>
          <w:szCs w:val="28"/>
        </w:rPr>
      </w:pPr>
      <w:r w:rsidRPr="00B449F2">
        <w:rPr>
          <w:rFonts w:ascii="標楷體" w:eastAsia="標楷體" w:hAnsi="標楷體" w:hint="eastAsia"/>
          <w:sz w:val="28"/>
          <w:szCs w:val="28"/>
        </w:rPr>
        <w:t>五、最低受理申購金額及買回限制。</w:t>
      </w:r>
    </w:p>
    <w:p w:rsidR="00B52968" w:rsidRPr="00B449F2" w:rsidRDefault="00B52968" w:rsidP="00B52968">
      <w:pPr>
        <w:pStyle w:val="Layout"/>
        <w:snapToGrid w:val="0"/>
        <w:ind w:leftChars="470" w:left="1688" w:hangingChars="200" w:hanging="560"/>
        <w:jc w:val="both"/>
        <w:rPr>
          <w:rFonts w:ascii="標楷體" w:eastAsia="標楷體" w:hAnsi="標楷體" w:hint="eastAsia"/>
          <w:sz w:val="28"/>
          <w:szCs w:val="28"/>
        </w:rPr>
      </w:pPr>
      <w:r w:rsidRPr="00B449F2">
        <w:rPr>
          <w:rFonts w:ascii="標楷體" w:eastAsia="標楷體" w:hAnsi="標楷體" w:hint="eastAsia"/>
          <w:sz w:val="28"/>
          <w:szCs w:val="28"/>
        </w:rPr>
        <w:t>六、申購或買回申請書件及其價金之給付方式與款項轉入基金保管機構設立之基金專戶。</w:t>
      </w:r>
    </w:p>
    <w:p w:rsidR="00B52968" w:rsidRPr="00B449F2" w:rsidRDefault="00B52968" w:rsidP="00B52968">
      <w:pPr>
        <w:pStyle w:val="Layout"/>
        <w:snapToGrid w:val="0"/>
        <w:ind w:leftChars="470" w:left="1688" w:hangingChars="200" w:hanging="560"/>
        <w:jc w:val="both"/>
        <w:rPr>
          <w:rFonts w:ascii="標楷體" w:eastAsia="標楷體" w:hAnsi="標楷體" w:hint="eastAsia"/>
          <w:sz w:val="28"/>
          <w:szCs w:val="28"/>
        </w:rPr>
      </w:pPr>
      <w:r w:rsidRPr="00B449F2">
        <w:rPr>
          <w:rFonts w:ascii="標楷體" w:eastAsia="標楷體" w:hAnsi="標楷體" w:hint="eastAsia"/>
          <w:sz w:val="28"/>
          <w:szCs w:val="28"/>
        </w:rPr>
        <w:t>七、每營業日受理申購或買回申請截止時間，及對逾時申請案件之認定及處理方式。</w:t>
      </w:r>
    </w:p>
    <w:p w:rsidR="00B52968" w:rsidRPr="00B449F2" w:rsidRDefault="00B52968" w:rsidP="00B52968">
      <w:pPr>
        <w:pStyle w:val="Layout"/>
        <w:snapToGrid w:val="0"/>
        <w:ind w:leftChars="470" w:left="1688" w:hangingChars="200" w:hanging="560"/>
        <w:jc w:val="both"/>
        <w:rPr>
          <w:rFonts w:ascii="標楷體" w:eastAsia="標楷體" w:hAnsi="標楷體" w:hint="eastAsia"/>
          <w:sz w:val="28"/>
          <w:szCs w:val="28"/>
        </w:rPr>
      </w:pPr>
      <w:r w:rsidRPr="00B449F2">
        <w:rPr>
          <w:rFonts w:ascii="標楷體" w:eastAsia="標楷體" w:hAnsi="標楷體" w:hint="eastAsia"/>
          <w:sz w:val="28"/>
          <w:szCs w:val="28"/>
        </w:rPr>
        <w:t>八、基金銷售機構配合執行基金公開說明書所載短線交易防制措施之應辦事項。</w:t>
      </w:r>
    </w:p>
    <w:p w:rsidR="00B52968" w:rsidRPr="00B449F2" w:rsidRDefault="00B52968" w:rsidP="00B52968">
      <w:pPr>
        <w:pStyle w:val="Layout"/>
        <w:snapToGrid w:val="0"/>
        <w:ind w:leftChars="470" w:left="1688" w:hangingChars="200" w:hanging="560"/>
        <w:jc w:val="both"/>
        <w:rPr>
          <w:rFonts w:ascii="標楷體" w:eastAsia="標楷體" w:hAnsi="標楷體" w:hint="eastAsia"/>
          <w:sz w:val="28"/>
          <w:szCs w:val="28"/>
        </w:rPr>
      </w:pPr>
      <w:r w:rsidRPr="00B449F2">
        <w:rPr>
          <w:rFonts w:ascii="標楷體" w:eastAsia="標楷體" w:hAnsi="標楷體" w:hint="eastAsia"/>
          <w:sz w:val="28"/>
          <w:szCs w:val="28"/>
        </w:rPr>
        <w:t>九、期貨信託事業對基金銷售機構以自己名義為客戶申購基金所提供所屬客戶短線交易資料，所應負之保密義務與損害賠償責任。</w:t>
      </w:r>
    </w:p>
    <w:p w:rsidR="00B52968" w:rsidRPr="00B449F2" w:rsidRDefault="00B52968" w:rsidP="00B52968">
      <w:pPr>
        <w:pStyle w:val="Layout"/>
        <w:snapToGrid w:val="0"/>
        <w:ind w:leftChars="470" w:left="1688" w:hangingChars="200" w:hanging="560"/>
        <w:jc w:val="both"/>
        <w:rPr>
          <w:rFonts w:ascii="標楷體" w:eastAsia="標楷體" w:hAnsi="標楷體" w:hint="eastAsia"/>
          <w:sz w:val="28"/>
          <w:szCs w:val="28"/>
        </w:rPr>
      </w:pPr>
      <w:r w:rsidRPr="00B449F2">
        <w:rPr>
          <w:rFonts w:ascii="標楷體" w:eastAsia="標楷體" w:hAnsi="標楷體" w:hint="eastAsia"/>
          <w:sz w:val="28"/>
          <w:szCs w:val="28"/>
        </w:rPr>
        <w:lastRenderedPageBreak/>
        <w:t>十、期貨信託事業及其基金銷售機構應公平對待所有客戶（包含對短線交易及延遲交易之處理及拒絕短線交易客戶之新增申購或其它與所有客戶權益有關事項）。</w:t>
      </w:r>
    </w:p>
    <w:p w:rsidR="00B52968" w:rsidRPr="00B449F2" w:rsidRDefault="00B52968" w:rsidP="00B52968">
      <w:pPr>
        <w:pStyle w:val="Layout"/>
        <w:snapToGrid w:val="0"/>
        <w:ind w:leftChars="470" w:left="1968" w:hangingChars="300" w:hanging="840"/>
        <w:jc w:val="both"/>
        <w:rPr>
          <w:rFonts w:ascii="標楷體" w:eastAsia="標楷體" w:hAnsi="標楷體" w:hint="eastAsia"/>
          <w:sz w:val="28"/>
          <w:szCs w:val="28"/>
        </w:rPr>
      </w:pPr>
      <w:r w:rsidRPr="00B449F2">
        <w:rPr>
          <w:rFonts w:ascii="標楷體" w:eastAsia="標楷體" w:hAnsi="標楷體" w:hint="eastAsia"/>
          <w:sz w:val="28"/>
          <w:szCs w:val="28"/>
        </w:rPr>
        <w:t>十一、基金銷售機構執行洗錢防制之應辦事項。</w:t>
      </w:r>
    </w:p>
    <w:p w:rsidR="00B52968" w:rsidRPr="00B449F2" w:rsidRDefault="00B52968" w:rsidP="00B52968">
      <w:pPr>
        <w:pStyle w:val="Layout"/>
        <w:snapToGrid w:val="0"/>
        <w:ind w:leftChars="470" w:left="1968" w:hangingChars="300" w:hanging="840"/>
        <w:jc w:val="both"/>
        <w:rPr>
          <w:rFonts w:ascii="標楷體" w:eastAsia="標楷體" w:hAnsi="標楷體" w:hint="eastAsia"/>
          <w:sz w:val="28"/>
          <w:szCs w:val="28"/>
        </w:rPr>
      </w:pPr>
      <w:r w:rsidRPr="00B449F2">
        <w:rPr>
          <w:rFonts w:ascii="標楷體" w:eastAsia="標楷體" w:hAnsi="標楷體" w:hint="eastAsia"/>
          <w:sz w:val="28"/>
          <w:szCs w:val="28"/>
        </w:rPr>
        <w:t>十二、基金銷售機構及其辦理基金銷售業務之人員之禁止行為。</w:t>
      </w:r>
    </w:p>
    <w:p w:rsidR="00B52968" w:rsidRPr="00B449F2" w:rsidRDefault="00B52968" w:rsidP="00B52968">
      <w:pPr>
        <w:pStyle w:val="Layout"/>
        <w:snapToGrid w:val="0"/>
        <w:ind w:leftChars="470" w:left="1968" w:hangingChars="300" w:hanging="840"/>
        <w:jc w:val="both"/>
        <w:rPr>
          <w:rFonts w:ascii="標楷體" w:eastAsia="標楷體" w:hAnsi="標楷體" w:hint="eastAsia"/>
          <w:sz w:val="28"/>
          <w:szCs w:val="28"/>
        </w:rPr>
      </w:pPr>
      <w:r w:rsidRPr="00B449F2">
        <w:rPr>
          <w:rFonts w:ascii="標楷體" w:eastAsia="標楷體" w:hAnsi="標楷體" w:hint="eastAsia"/>
          <w:sz w:val="28"/>
          <w:szCs w:val="28"/>
        </w:rPr>
        <w:t>十三、基金銷售作業程序。</w:t>
      </w:r>
    </w:p>
    <w:p w:rsidR="00B52968" w:rsidRPr="00B449F2" w:rsidRDefault="00B52968" w:rsidP="00B52968">
      <w:pPr>
        <w:pStyle w:val="Layout"/>
        <w:snapToGrid w:val="0"/>
        <w:ind w:leftChars="470" w:left="1968" w:hangingChars="300" w:hanging="840"/>
        <w:jc w:val="both"/>
        <w:rPr>
          <w:rFonts w:ascii="標楷體" w:eastAsia="標楷體" w:hAnsi="Courier New" w:cs="Courier New" w:hint="eastAsia"/>
          <w:kern w:val="2"/>
          <w:sz w:val="28"/>
          <w:szCs w:val="24"/>
        </w:rPr>
      </w:pPr>
      <w:r w:rsidRPr="00B449F2">
        <w:rPr>
          <w:rFonts w:ascii="標楷體" w:eastAsia="標楷體" w:hAnsi="標楷體" w:hint="eastAsia"/>
          <w:sz w:val="28"/>
          <w:szCs w:val="28"/>
        </w:rPr>
        <w:t>十四、基金銷售機構辦理期貨信託基金銷售之人員，應向本公會辦理登記，且</w:t>
      </w:r>
      <w:r w:rsidRPr="00B449F2">
        <w:rPr>
          <w:rFonts w:ascii="標楷體" w:eastAsia="標楷體" w:hAnsi="Courier New" w:cs="Courier New" w:hint="eastAsia"/>
          <w:kern w:val="2"/>
          <w:sz w:val="28"/>
          <w:szCs w:val="24"/>
        </w:rPr>
        <w:t>對銷售之期貨信託基金有充分之專業知識，並遵循本公會訂定之自律規範。</w:t>
      </w:r>
    </w:p>
    <w:p w:rsidR="00B52968" w:rsidRPr="00B449F2" w:rsidRDefault="00B52968" w:rsidP="00B52968">
      <w:pPr>
        <w:pStyle w:val="Layout"/>
        <w:snapToGrid w:val="0"/>
        <w:ind w:leftChars="470" w:left="1968" w:hangingChars="300" w:hanging="840"/>
        <w:jc w:val="both"/>
        <w:rPr>
          <w:rFonts w:ascii="標楷體" w:eastAsia="標楷體" w:hAnsi="標楷體" w:hint="eastAsia"/>
          <w:sz w:val="28"/>
          <w:szCs w:val="28"/>
        </w:rPr>
      </w:pPr>
      <w:r w:rsidRPr="00B449F2">
        <w:rPr>
          <w:rFonts w:ascii="標楷體" w:eastAsia="標楷體" w:hAnsi="標楷體" w:hint="eastAsia"/>
          <w:sz w:val="28"/>
          <w:szCs w:val="28"/>
        </w:rPr>
        <w:t>十五、期貨信託基金之募集不成立時之退款方式。</w:t>
      </w:r>
    </w:p>
    <w:p w:rsidR="00B52968" w:rsidRPr="00B449F2" w:rsidRDefault="00B52968" w:rsidP="00B52968">
      <w:pPr>
        <w:pStyle w:val="Layout"/>
        <w:snapToGrid w:val="0"/>
        <w:ind w:leftChars="470" w:left="1968" w:hangingChars="300" w:hanging="840"/>
        <w:jc w:val="both"/>
        <w:rPr>
          <w:rFonts w:ascii="標楷體" w:eastAsia="標楷體" w:hAnsi="標楷體" w:hint="eastAsia"/>
          <w:sz w:val="28"/>
          <w:szCs w:val="28"/>
        </w:rPr>
      </w:pPr>
      <w:r w:rsidRPr="00B449F2">
        <w:rPr>
          <w:rFonts w:ascii="標楷體" w:eastAsia="標楷體" w:hAnsi="標楷體" w:hint="eastAsia"/>
          <w:sz w:val="28"/>
          <w:szCs w:val="28"/>
        </w:rPr>
        <w:t>十六、委任報酬之給付及所生費用之分擔方式。</w:t>
      </w:r>
    </w:p>
    <w:p w:rsidR="00B52968" w:rsidRPr="00B449F2" w:rsidRDefault="00B52968" w:rsidP="00B52968">
      <w:pPr>
        <w:pStyle w:val="Layout"/>
        <w:snapToGrid w:val="0"/>
        <w:ind w:leftChars="470" w:left="1968" w:hangingChars="300" w:hanging="840"/>
        <w:jc w:val="both"/>
        <w:rPr>
          <w:rFonts w:ascii="標楷體" w:eastAsia="標楷體" w:hAnsi="標楷體" w:hint="eastAsia"/>
          <w:sz w:val="28"/>
          <w:szCs w:val="28"/>
        </w:rPr>
      </w:pPr>
      <w:r w:rsidRPr="00B449F2">
        <w:rPr>
          <w:rFonts w:ascii="標楷體" w:eastAsia="標楷體" w:hAnsi="標楷體" w:hint="eastAsia"/>
          <w:sz w:val="28"/>
          <w:szCs w:val="28"/>
        </w:rPr>
        <w:t>十七、基金銷售機構以自己名義為客戶申購基金，對於重大影響客戶權益之事項，應辦理之受益人會議通知及彙整所屬客戶意見通知期貨信託事業之應辦事項；約定所稱「重大影響客戶權益之事項」。</w:t>
      </w:r>
    </w:p>
    <w:p w:rsidR="00B52968" w:rsidRPr="00B449F2" w:rsidRDefault="00B52968" w:rsidP="00B52968">
      <w:pPr>
        <w:pStyle w:val="Layout"/>
        <w:snapToGrid w:val="0"/>
        <w:ind w:leftChars="470" w:left="1968" w:hangingChars="300" w:hanging="840"/>
        <w:jc w:val="both"/>
        <w:rPr>
          <w:rFonts w:ascii="標楷體" w:eastAsia="標楷體" w:hAnsi="標楷體" w:hint="eastAsia"/>
          <w:sz w:val="28"/>
          <w:szCs w:val="28"/>
        </w:rPr>
      </w:pPr>
      <w:r w:rsidRPr="00B449F2">
        <w:rPr>
          <w:rFonts w:ascii="標楷體" w:eastAsia="標楷體" w:hAnsi="標楷體" w:hint="eastAsia"/>
          <w:sz w:val="28"/>
          <w:szCs w:val="28"/>
        </w:rPr>
        <w:t>十八、</w:t>
      </w:r>
      <w:proofErr w:type="gramStart"/>
      <w:r w:rsidRPr="00B449F2">
        <w:rPr>
          <w:rFonts w:ascii="標楷體" w:eastAsia="標楷體" w:hAnsi="標楷體" w:hint="eastAsia"/>
          <w:sz w:val="28"/>
          <w:szCs w:val="28"/>
        </w:rPr>
        <w:t>複</w:t>
      </w:r>
      <w:proofErr w:type="gramEnd"/>
      <w:r w:rsidRPr="00B449F2">
        <w:rPr>
          <w:rFonts w:ascii="標楷體" w:eastAsia="標楷體" w:hAnsi="標楷體" w:hint="eastAsia"/>
          <w:sz w:val="28"/>
          <w:szCs w:val="28"/>
        </w:rPr>
        <w:t>委任及轉讓之禁止。</w:t>
      </w:r>
    </w:p>
    <w:p w:rsidR="00B52968" w:rsidRPr="00B449F2" w:rsidRDefault="00B52968" w:rsidP="00B52968">
      <w:pPr>
        <w:pStyle w:val="Layout"/>
        <w:snapToGrid w:val="0"/>
        <w:ind w:leftChars="470" w:left="1968" w:hangingChars="300" w:hanging="840"/>
        <w:jc w:val="both"/>
        <w:rPr>
          <w:rFonts w:ascii="標楷體" w:eastAsia="標楷體" w:hAnsi="標楷體" w:hint="eastAsia"/>
          <w:sz w:val="28"/>
          <w:szCs w:val="28"/>
        </w:rPr>
      </w:pPr>
      <w:r w:rsidRPr="00B449F2">
        <w:rPr>
          <w:rFonts w:ascii="標楷體" w:eastAsia="標楷體" w:hAnsi="標楷體" w:hint="eastAsia"/>
          <w:sz w:val="28"/>
          <w:szCs w:val="28"/>
        </w:rPr>
        <w:t>十九、契約之變更或終止。包含基金銷售機構及其辦理基金銷售業務之人員違反法令時，期貨信託事業得終止契約，及金管會要求期貨信託事業不得委任擔任基金銷售機構之期限尚未屆滿等終止事由。</w:t>
      </w:r>
    </w:p>
    <w:p w:rsidR="00B52968" w:rsidRPr="00B449F2" w:rsidRDefault="00B52968" w:rsidP="00B52968">
      <w:pPr>
        <w:pStyle w:val="Layout"/>
        <w:snapToGrid w:val="0"/>
        <w:ind w:leftChars="470" w:left="1968" w:hangingChars="300" w:hanging="840"/>
        <w:jc w:val="both"/>
        <w:rPr>
          <w:rFonts w:ascii="標楷體" w:eastAsia="標楷體" w:hAnsi="標楷體" w:hint="eastAsia"/>
          <w:sz w:val="28"/>
          <w:szCs w:val="28"/>
        </w:rPr>
      </w:pPr>
      <w:r w:rsidRPr="00B449F2">
        <w:rPr>
          <w:rFonts w:ascii="標楷體" w:eastAsia="標楷體" w:hAnsi="標楷體" w:hint="eastAsia"/>
          <w:sz w:val="28"/>
          <w:szCs w:val="28"/>
        </w:rPr>
        <w:t>二十、契約之生效日期及其存續期間。</w:t>
      </w:r>
    </w:p>
    <w:p w:rsidR="00B52968" w:rsidRPr="00B449F2" w:rsidRDefault="00B52968" w:rsidP="00B52968">
      <w:pPr>
        <w:pStyle w:val="Layout"/>
        <w:snapToGrid w:val="0"/>
        <w:ind w:leftChars="470" w:left="1926" w:hangingChars="285" w:hanging="798"/>
        <w:jc w:val="both"/>
        <w:rPr>
          <w:rFonts w:ascii="標楷體" w:eastAsia="標楷體" w:hAnsi="標楷體" w:hint="eastAsia"/>
          <w:sz w:val="28"/>
          <w:szCs w:val="28"/>
        </w:rPr>
      </w:pPr>
      <w:r w:rsidRPr="00B449F2">
        <w:rPr>
          <w:rFonts w:ascii="標楷體" w:eastAsia="標楷體" w:hAnsi="標楷體" w:hint="eastAsia"/>
          <w:sz w:val="28"/>
          <w:szCs w:val="28"/>
        </w:rPr>
        <w:t>二十一、紛爭之解決方式及管轄法院。</w:t>
      </w:r>
    </w:p>
    <w:p w:rsidR="00B52968" w:rsidRPr="00B449F2" w:rsidRDefault="00B52968" w:rsidP="00B52968">
      <w:pPr>
        <w:pStyle w:val="Layout"/>
        <w:tabs>
          <w:tab w:val="left" w:pos="672"/>
        </w:tabs>
        <w:snapToGrid w:val="0"/>
        <w:ind w:leftChars="470" w:left="1926" w:hangingChars="285" w:hanging="798"/>
        <w:jc w:val="both"/>
        <w:rPr>
          <w:rFonts w:ascii="標楷體" w:eastAsia="標楷體" w:hAnsi="標楷體" w:hint="eastAsia"/>
          <w:sz w:val="28"/>
          <w:szCs w:val="28"/>
        </w:rPr>
      </w:pPr>
      <w:r w:rsidRPr="00B449F2">
        <w:rPr>
          <w:rFonts w:ascii="標楷體" w:eastAsia="標楷體" w:hAnsi="標楷體" w:hint="eastAsia"/>
          <w:sz w:val="28"/>
          <w:szCs w:val="28"/>
        </w:rPr>
        <w:t>二十二、其他影響客戶權益經金管會規定應記載事項。</w:t>
      </w:r>
    </w:p>
    <w:p w:rsidR="00B52968" w:rsidRPr="009431E2" w:rsidRDefault="00B52968" w:rsidP="00B52968">
      <w:pPr>
        <w:pStyle w:val="Layout"/>
        <w:snapToGrid w:val="0"/>
        <w:ind w:leftChars="-63" w:left="1406" w:hangingChars="556" w:hanging="1557"/>
        <w:jc w:val="both"/>
        <w:rPr>
          <w:rFonts w:ascii="標楷體" w:eastAsia="標楷體" w:hAnsi="標楷體" w:hint="eastAsia"/>
          <w:sz w:val="28"/>
          <w:szCs w:val="28"/>
        </w:rPr>
      </w:pPr>
      <w:r w:rsidRPr="00B449F2">
        <w:rPr>
          <w:rFonts w:ascii="標楷體" w:eastAsia="標楷體" w:hAnsi="標楷體" w:hint="eastAsia"/>
          <w:sz w:val="28"/>
          <w:szCs w:val="28"/>
        </w:rPr>
        <w:t xml:space="preserve">第十一條  </w:t>
      </w:r>
      <w:r>
        <w:rPr>
          <w:rFonts w:ascii="標楷體" w:eastAsia="標楷體" w:hAnsi="標楷體" w:hint="eastAsia"/>
          <w:sz w:val="28"/>
          <w:szCs w:val="28"/>
        </w:rPr>
        <w:t xml:space="preserve"> </w:t>
      </w:r>
      <w:r w:rsidRPr="00B449F2">
        <w:rPr>
          <w:rFonts w:ascii="標楷體" w:eastAsia="標楷體" w:hAnsi="標楷體" w:hint="eastAsia"/>
          <w:sz w:val="28"/>
          <w:szCs w:val="28"/>
        </w:rPr>
        <w:t>期貨信託事業委任基金銷售機構辦理基金銷售業務，應出具基金銷售機構符合資格之聲明書、其銷售契約及銷售基金之內部控制</w:t>
      </w:r>
      <w:r w:rsidRPr="009431E2">
        <w:rPr>
          <w:rFonts w:ascii="標楷體" w:eastAsia="標楷體" w:hAnsi="標楷體" w:hint="eastAsia"/>
          <w:sz w:val="28"/>
          <w:szCs w:val="28"/>
        </w:rPr>
        <w:t>制度，送本公會審查核准後始得為之。</w:t>
      </w:r>
    </w:p>
    <w:p w:rsidR="00B52968" w:rsidRPr="00B449F2" w:rsidRDefault="00B52968" w:rsidP="00B52968">
      <w:pPr>
        <w:pStyle w:val="Layout"/>
        <w:snapToGrid w:val="0"/>
        <w:ind w:leftChars="585" w:left="1404"/>
        <w:jc w:val="both"/>
        <w:rPr>
          <w:rFonts w:ascii="標楷體" w:eastAsia="標楷體" w:hAnsi="標楷體" w:hint="eastAsia"/>
          <w:sz w:val="28"/>
          <w:szCs w:val="28"/>
        </w:rPr>
      </w:pPr>
      <w:r w:rsidRPr="009431E2">
        <w:rPr>
          <w:rFonts w:ascii="標楷體" w:eastAsia="標楷體" w:hAnsi="標楷體" w:hint="eastAsia"/>
          <w:sz w:val="28"/>
          <w:szCs w:val="28"/>
        </w:rPr>
        <w:t>期貨信託事業辦理期貨信託基金之募集，應於取得金管會核准後，於開始募集五個營業日前將申報書(附表</w:t>
      </w:r>
      <w:proofErr w:type="gramStart"/>
      <w:r w:rsidRPr="009431E2">
        <w:rPr>
          <w:rFonts w:ascii="標楷體" w:eastAsia="標楷體" w:hAnsi="標楷體" w:hint="eastAsia"/>
          <w:sz w:val="28"/>
          <w:szCs w:val="28"/>
        </w:rPr>
        <w:t>一</w:t>
      </w:r>
      <w:proofErr w:type="gramEnd"/>
      <w:r w:rsidRPr="009431E2">
        <w:rPr>
          <w:rFonts w:ascii="標楷體" w:eastAsia="標楷體" w:hAnsi="標楷體" w:hint="eastAsia"/>
          <w:sz w:val="28"/>
          <w:szCs w:val="28"/>
        </w:rPr>
        <w:t>)、期貨信託基金委任基金銷售機構彙總表(附表二)、募集公告稿、修正後公開說明書稿本、金管會募集同意函影本及其他依規定應檢具之書件，</w:t>
      </w:r>
      <w:r w:rsidRPr="00B449F2">
        <w:rPr>
          <w:rFonts w:ascii="標楷體" w:eastAsia="標楷體" w:hAnsi="標楷體" w:hint="eastAsia"/>
          <w:sz w:val="28"/>
          <w:szCs w:val="28"/>
        </w:rPr>
        <w:t>報請本公會備查。</w:t>
      </w:r>
    </w:p>
    <w:p w:rsidR="00B52968" w:rsidRPr="00B449F2" w:rsidRDefault="00B52968" w:rsidP="00B52968">
      <w:pPr>
        <w:pStyle w:val="Layout"/>
        <w:snapToGrid w:val="0"/>
        <w:ind w:leftChars="-63" w:left="1406" w:hangingChars="556" w:hanging="1557"/>
        <w:jc w:val="both"/>
        <w:rPr>
          <w:rFonts w:ascii="標楷體" w:eastAsia="標楷體" w:hAnsi="標楷體" w:hint="eastAsia"/>
          <w:sz w:val="28"/>
          <w:szCs w:val="28"/>
        </w:rPr>
      </w:pPr>
      <w:r w:rsidRPr="00B449F2">
        <w:rPr>
          <w:rFonts w:ascii="標楷體" w:eastAsia="標楷體" w:hAnsi="標楷體" w:hint="eastAsia"/>
          <w:sz w:val="28"/>
          <w:szCs w:val="28"/>
        </w:rPr>
        <w:t xml:space="preserve">第十二條  </w:t>
      </w:r>
      <w:r>
        <w:rPr>
          <w:rFonts w:ascii="標楷體" w:eastAsia="標楷體" w:hAnsi="標楷體" w:hint="eastAsia"/>
          <w:sz w:val="28"/>
          <w:szCs w:val="28"/>
        </w:rPr>
        <w:t xml:space="preserve"> </w:t>
      </w:r>
      <w:r w:rsidRPr="00B449F2">
        <w:rPr>
          <w:rFonts w:ascii="標楷體" w:eastAsia="標楷體" w:hAnsi="標楷體" w:hint="eastAsia"/>
          <w:sz w:val="28"/>
          <w:szCs w:val="28"/>
        </w:rPr>
        <w:t>期貨信託事業對受益憑證單位數之銷售應予適當控管，遇有申購金額超過最高得發行總面額時，各基金銷售機構應依客戶申購時間之順序或其他公正之方式處理。</w:t>
      </w:r>
    </w:p>
    <w:p w:rsidR="00B52968" w:rsidRPr="00B449F2" w:rsidRDefault="00B52968" w:rsidP="00B52968">
      <w:pPr>
        <w:pStyle w:val="Layout"/>
        <w:snapToGrid w:val="0"/>
        <w:ind w:leftChars="-63" w:left="1406" w:hangingChars="556" w:hanging="1557"/>
        <w:jc w:val="both"/>
        <w:rPr>
          <w:rFonts w:ascii="標楷體" w:eastAsia="標楷體" w:hAnsi="標楷體" w:hint="eastAsia"/>
          <w:sz w:val="28"/>
          <w:szCs w:val="28"/>
        </w:rPr>
      </w:pPr>
      <w:r w:rsidRPr="00B449F2">
        <w:rPr>
          <w:rFonts w:ascii="標楷體" w:eastAsia="標楷體" w:hAnsi="標楷體" w:hint="eastAsia"/>
          <w:sz w:val="28"/>
          <w:szCs w:val="28"/>
        </w:rPr>
        <w:t xml:space="preserve">第十三條  </w:t>
      </w:r>
      <w:r>
        <w:rPr>
          <w:rFonts w:ascii="標楷體" w:eastAsia="標楷體" w:hAnsi="標楷體" w:hint="eastAsia"/>
          <w:sz w:val="28"/>
          <w:szCs w:val="28"/>
        </w:rPr>
        <w:t xml:space="preserve"> </w:t>
      </w:r>
      <w:r w:rsidRPr="00B449F2">
        <w:rPr>
          <w:rFonts w:ascii="標楷體" w:eastAsia="標楷體" w:hAnsi="標楷體" w:hint="eastAsia"/>
          <w:sz w:val="28"/>
          <w:szCs w:val="28"/>
        </w:rPr>
        <w:t>期貨信託事業應依</w:t>
      </w:r>
      <w:r w:rsidRPr="009431E2">
        <w:rPr>
          <w:rFonts w:ascii="標楷體" w:eastAsia="標楷體" w:hAnsi="標楷體" w:hint="eastAsia"/>
          <w:sz w:val="28"/>
          <w:szCs w:val="28"/>
        </w:rPr>
        <w:t>金管會</w:t>
      </w:r>
      <w:r w:rsidRPr="00B449F2">
        <w:rPr>
          <w:rFonts w:ascii="標楷體" w:eastAsia="標楷體" w:hAnsi="標楷體" w:hint="eastAsia"/>
          <w:sz w:val="28"/>
          <w:szCs w:val="28"/>
        </w:rPr>
        <w:t>之規定編製期貨信託基金公開說明書，並交付予基金銷售機構及申購人；基金銷售機構應交付公開說明書予申購人。</w:t>
      </w:r>
    </w:p>
    <w:p w:rsidR="00B52968" w:rsidRPr="00B449F2" w:rsidRDefault="00B52968" w:rsidP="00B52968">
      <w:pPr>
        <w:pStyle w:val="Layout"/>
        <w:snapToGrid w:val="0"/>
        <w:ind w:leftChars="585" w:left="1404"/>
        <w:jc w:val="both"/>
        <w:rPr>
          <w:rFonts w:ascii="標楷體" w:eastAsia="標楷體" w:hAnsi="標楷體" w:hint="eastAsia"/>
          <w:sz w:val="28"/>
          <w:szCs w:val="28"/>
        </w:rPr>
      </w:pPr>
      <w:r w:rsidRPr="00B449F2">
        <w:rPr>
          <w:rFonts w:ascii="標楷體" w:eastAsia="標楷體" w:hAnsi="標楷體" w:hint="eastAsia"/>
          <w:sz w:val="28"/>
          <w:szCs w:val="28"/>
        </w:rPr>
        <w:t>前項公開說明書之交付，得以印製書面交付或經申購人之同意，依其指示之電子郵件網址或其他方式傳送予申購人；期貨信託事</w:t>
      </w:r>
      <w:r w:rsidRPr="00B449F2">
        <w:rPr>
          <w:rFonts w:ascii="標楷體" w:eastAsia="標楷體" w:hAnsi="標楷體" w:hint="eastAsia"/>
          <w:sz w:val="28"/>
          <w:szCs w:val="28"/>
        </w:rPr>
        <w:lastRenderedPageBreak/>
        <w:t>業交付公開說明書予其所委任基金銷售機構之方式，得於雙方之銷售契約約定之。</w:t>
      </w:r>
    </w:p>
    <w:p w:rsidR="00B52968" w:rsidRPr="00B449F2" w:rsidRDefault="00B52968" w:rsidP="00B52968">
      <w:pPr>
        <w:pStyle w:val="Layout"/>
        <w:snapToGrid w:val="0"/>
        <w:ind w:leftChars="585" w:left="1404"/>
        <w:jc w:val="both"/>
        <w:rPr>
          <w:rFonts w:ascii="標楷體" w:eastAsia="標楷體" w:hAnsi="標楷體" w:hint="eastAsia"/>
          <w:sz w:val="28"/>
          <w:szCs w:val="28"/>
        </w:rPr>
      </w:pPr>
      <w:r w:rsidRPr="00B449F2">
        <w:rPr>
          <w:rFonts w:ascii="標楷體" w:eastAsia="標楷體" w:hAnsi="標楷體" w:hint="eastAsia"/>
          <w:sz w:val="28"/>
          <w:szCs w:val="28"/>
        </w:rPr>
        <w:t>期貨信託事業及基金銷售機構應於其基金銷售文件及廣告內，標明已備有公開說明書及</w:t>
      </w:r>
      <w:proofErr w:type="gramStart"/>
      <w:r w:rsidRPr="00B449F2">
        <w:rPr>
          <w:rFonts w:ascii="標楷體" w:eastAsia="標楷體" w:hAnsi="標楷體" w:hint="eastAsia"/>
          <w:sz w:val="28"/>
          <w:szCs w:val="28"/>
        </w:rPr>
        <w:t>可供索閱</w:t>
      </w:r>
      <w:proofErr w:type="gramEnd"/>
      <w:r w:rsidRPr="00B449F2">
        <w:rPr>
          <w:rFonts w:ascii="標楷體" w:eastAsia="標楷體" w:hAnsi="標楷體" w:hint="eastAsia"/>
          <w:sz w:val="28"/>
          <w:szCs w:val="28"/>
        </w:rPr>
        <w:t>之處所或可供查閱之方式。</w:t>
      </w:r>
    </w:p>
    <w:p w:rsidR="00B52968" w:rsidRDefault="00B52968" w:rsidP="00B52968">
      <w:pPr>
        <w:pStyle w:val="Layout"/>
        <w:snapToGrid w:val="0"/>
        <w:ind w:leftChars="-63" w:left="1406" w:hangingChars="556" w:hanging="1557"/>
        <w:jc w:val="both"/>
        <w:rPr>
          <w:rFonts w:ascii="標楷體" w:eastAsia="標楷體" w:hAnsi="標楷體" w:hint="eastAsia"/>
          <w:sz w:val="28"/>
          <w:szCs w:val="28"/>
        </w:rPr>
      </w:pPr>
      <w:r w:rsidRPr="00B449F2">
        <w:rPr>
          <w:rFonts w:ascii="標楷體" w:eastAsia="標楷體" w:hAnsi="標楷體" w:hint="eastAsia"/>
          <w:sz w:val="28"/>
          <w:szCs w:val="28"/>
        </w:rPr>
        <w:t xml:space="preserve">第十四條 </w:t>
      </w:r>
      <w:r>
        <w:rPr>
          <w:rFonts w:ascii="標楷體" w:eastAsia="標楷體" w:hAnsi="標楷體" w:hint="eastAsia"/>
          <w:sz w:val="28"/>
          <w:szCs w:val="28"/>
        </w:rPr>
        <w:t xml:space="preserve">  </w:t>
      </w:r>
      <w:r w:rsidRPr="00B449F2">
        <w:rPr>
          <w:rFonts w:ascii="標楷體" w:eastAsia="標楷體" w:hAnsi="標楷體" w:hint="eastAsia"/>
          <w:sz w:val="28"/>
          <w:szCs w:val="28"/>
        </w:rPr>
        <w:t>期貨信託基金不成立時，期貨信託事業應立即指示基金保管機構</w:t>
      </w:r>
    </w:p>
    <w:p w:rsidR="00B52968" w:rsidRPr="00B449F2" w:rsidRDefault="00B52968" w:rsidP="00B52968">
      <w:pPr>
        <w:pStyle w:val="Layout"/>
        <w:snapToGrid w:val="0"/>
        <w:ind w:leftChars="585" w:left="1404"/>
        <w:jc w:val="both"/>
        <w:rPr>
          <w:rFonts w:ascii="標楷體" w:eastAsia="標楷體" w:hAnsi="標楷體" w:hint="eastAsia"/>
          <w:sz w:val="28"/>
          <w:szCs w:val="28"/>
        </w:rPr>
      </w:pPr>
      <w:r w:rsidRPr="00B449F2">
        <w:rPr>
          <w:rFonts w:ascii="標楷體" w:eastAsia="標楷體" w:hAnsi="標楷體" w:hint="eastAsia"/>
          <w:sz w:val="28"/>
          <w:szCs w:val="28"/>
        </w:rPr>
        <w:t>，自確定不成立日起十個營業日內，以申購人為受款人之記名劃線禁止背書轉讓票據或匯款方式，退還申購價金及加計自基金保管機構收受申購價金之翌日起至其發還申購價金之前一日止，按基金保管機構活期存款利率計算之利息。利息計至新台幣元，</w:t>
      </w:r>
      <w:proofErr w:type="gramStart"/>
      <w:r w:rsidRPr="00B449F2">
        <w:rPr>
          <w:rFonts w:ascii="標楷體" w:eastAsia="標楷體" w:hAnsi="標楷體" w:hint="eastAsia"/>
          <w:sz w:val="28"/>
          <w:szCs w:val="28"/>
        </w:rPr>
        <w:t>不滿壹</w:t>
      </w:r>
      <w:proofErr w:type="gramEnd"/>
      <w:r w:rsidRPr="00B449F2">
        <w:rPr>
          <w:rFonts w:ascii="標楷體" w:eastAsia="標楷體" w:hAnsi="標楷體" w:hint="eastAsia"/>
          <w:sz w:val="28"/>
          <w:szCs w:val="28"/>
        </w:rPr>
        <w:t>元者，四捨五入。</w:t>
      </w:r>
    </w:p>
    <w:p w:rsidR="00B52968" w:rsidRPr="00B449F2" w:rsidRDefault="00B52968" w:rsidP="00B52968">
      <w:pPr>
        <w:pStyle w:val="Layout"/>
        <w:snapToGrid w:val="0"/>
        <w:ind w:leftChars="-63" w:left="1406" w:hangingChars="556" w:hanging="1557"/>
        <w:jc w:val="both"/>
        <w:rPr>
          <w:rFonts w:ascii="標楷體" w:eastAsia="標楷體" w:hAnsi="標楷體" w:hint="eastAsia"/>
          <w:sz w:val="28"/>
          <w:szCs w:val="28"/>
        </w:rPr>
      </w:pPr>
      <w:r w:rsidRPr="00B449F2">
        <w:rPr>
          <w:rFonts w:ascii="標楷體" w:eastAsia="標楷體" w:hAnsi="標楷體" w:hint="eastAsia"/>
          <w:sz w:val="28"/>
          <w:szCs w:val="28"/>
        </w:rPr>
        <w:t xml:space="preserve">第十五條  </w:t>
      </w:r>
      <w:r>
        <w:rPr>
          <w:rFonts w:ascii="標楷體" w:eastAsia="標楷體" w:hAnsi="標楷體" w:hint="eastAsia"/>
          <w:sz w:val="28"/>
          <w:szCs w:val="28"/>
        </w:rPr>
        <w:t xml:space="preserve"> </w:t>
      </w:r>
      <w:r w:rsidRPr="00B449F2">
        <w:rPr>
          <w:rFonts w:ascii="標楷體" w:eastAsia="標楷體" w:hAnsi="標楷體" w:hint="eastAsia"/>
          <w:sz w:val="28"/>
          <w:szCs w:val="28"/>
        </w:rPr>
        <w:t>期貨信託事業及基金銷售機構應依據期貨信託基金公開說明書之記載，公平對待所有基金客戶，不得對特定客戶提供特別優厚之申購條件。</w:t>
      </w:r>
    </w:p>
    <w:p w:rsidR="00B52968" w:rsidRPr="00B449F2" w:rsidRDefault="00B52968" w:rsidP="00B52968">
      <w:pPr>
        <w:pStyle w:val="Layout"/>
        <w:snapToGrid w:val="0"/>
        <w:ind w:leftChars="-63" w:left="1406" w:hangingChars="556" w:hanging="1557"/>
        <w:jc w:val="both"/>
        <w:rPr>
          <w:rFonts w:ascii="標楷體" w:eastAsia="標楷體" w:hAnsi="標楷體" w:hint="eastAsia"/>
          <w:sz w:val="28"/>
          <w:szCs w:val="28"/>
        </w:rPr>
      </w:pPr>
      <w:r w:rsidRPr="00B449F2">
        <w:rPr>
          <w:rFonts w:ascii="標楷體" w:eastAsia="標楷體" w:hAnsi="標楷體" w:hint="eastAsia"/>
          <w:sz w:val="28"/>
          <w:szCs w:val="28"/>
        </w:rPr>
        <w:t>第十六條</w:t>
      </w:r>
      <w:r w:rsidRPr="00B449F2">
        <w:rPr>
          <w:rFonts w:ascii="標楷體" w:eastAsia="標楷體" w:hAnsi="標楷體"/>
          <w:sz w:val="28"/>
          <w:szCs w:val="28"/>
        </w:rPr>
        <w:tab/>
      </w:r>
      <w:r w:rsidRPr="00B449F2">
        <w:rPr>
          <w:rFonts w:ascii="標楷體" w:eastAsia="標楷體" w:hAnsi="標楷體" w:hint="eastAsia"/>
          <w:sz w:val="28"/>
          <w:szCs w:val="28"/>
        </w:rPr>
        <w:t>期貨信託事業及其基金銷售機構辦理基金銷售業務，應充分知悉並評估客戶之投資知識、投資經驗、財務狀況及承受投資風險程度。</w:t>
      </w:r>
    </w:p>
    <w:p w:rsidR="00B52968" w:rsidRPr="00B449F2" w:rsidRDefault="00B52968" w:rsidP="00B52968">
      <w:pPr>
        <w:pStyle w:val="Layout"/>
        <w:snapToGrid w:val="0"/>
        <w:ind w:leftChars="585" w:left="1404"/>
        <w:jc w:val="both"/>
        <w:rPr>
          <w:rFonts w:ascii="標楷體" w:eastAsia="標楷體" w:hAnsi="標楷體" w:hint="eastAsia"/>
          <w:sz w:val="28"/>
          <w:szCs w:val="28"/>
        </w:rPr>
      </w:pPr>
      <w:r w:rsidRPr="00B449F2">
        <w:rPr>
          <w:rFonts w:ascii="標楷體" w:eastAsia="標楷體" w:hAnsi="標楷體" w:hint="eastAsia"/>
          <w:sz w:val="28"/>
          <w:szCs w:val="28"/>
        </w:rPr>
        <w:t>客戶首次向期貨信託事業或其基金銷售機構辦理基金申購時，應提出身分證明文件或法人登記證明文件辦理開戶手續、</w:t>
      </w:r>
      <w:proofErr w:type="gramStart"/>
      <w:r w:rsidRPr="00B449F2">
        <w:rPr>
          <w:rFonts w:ascii="標楷體" w:eastAsia="標楷體" w:hAnsi="標楷體" w:hint="eastAsia"/>
          <w:sz w:val="28"/>
          <w:szCs w:val="28"/>
        </w:rPr>
        <w:t>填留印鑑</w:t>
      </w:r>
      <w:proofErr w:type="gramEnd"/>
      <w:r w:rsidRPr="00B449F2">
        <w:rPr>
          <w:rFonts w:ascii="標楷體" w:eastAsia="標楷體" w:hAnsi="標楷體" w:hint="eastAsia"/>
          <w:sz w:val="28"/>
          <w:szCs w:val="28"/>
        </w:rPr>
        <w:t>卡及其基本資料並檢附其他依法令規定應檢附之文件。</w:t>
      </w:r>
    </w:p>
    <w:p w:rsidR="00B52968" w:rsidRPr="00B449F2" w:rsidRDefault="00B52968" w:rsidP="00B52968">
      <w:pPr>
        <w:pStyle w:val="Layout"/>
        <w:snapToGrid w:val="0"/>
        <w:ind w:leftChars="585" w:left="1404"/>
        <w:jc w:val="both"/>
        <w:rPr>
          <w:rFonts w:ascii="標楷體" w:eastAsia="標楷體" w:hAnsi="標楷體" w:hint="eastAsia"/>
          <w:sz w:val="28"/>
          <w:szCs w:val="28"/>
        </w:rPr>
      </w:pPr>
      <w:r w:rsidRPr="00B449F2">
        <w:rPr>
          <w:rFonts w:ascii="標楷體" w:eastAsia="標楷體" w:hAnsi="標楷體" w:hint="eastAsia"/>
          <w:sz w:val="28"/>
          <w:szCs w:val="28"/>
        </w:rPr>
        <w:t>期貨信託事業或基金銷售機構接受客戶申購期貨信託基金受益憑證前，應交付客戶風險預告書以充分揭露相關投資風險，並應向申購人告知期貨信託基金之性質及可能之風險。</w:t>
      </w:r>
    </w:p>
    <w:p w:rsidR="00B52968" w:rsidRPr="00B449F2" w:rsidRDefault="00B52968" w:rsidP="00B52968">
      <w:pPr>
        <w:pStyle w:val="Layout"/>
        <w:snapToGrid w:val="0"/>
        <w:ind w:leftChars="585" w:left="1404"/>
        <w:jc w:val="both"/>
        <w:rPr>
          <w:rFonts w:ascii="標楷體" w:eastAsia="標楷體" w:hAnsi="標楷體" w:hint="eastAsia"/>
          <w:sz w:val="28"/>
          <w:szCs w:val="28"/>
        </w:rPr>
      </w:pPr>
      <w:r w:rsidRPr="00B449F2">
        <w:rPr>
          <w:rFonts w:ascii="標楷體" w:eastAsia="標楷體" w:hAnsi="標楷體" w:hint="eastAsia"/>
          <w:sz w:val="28"/>
          <w:szCs w:val="28"/>
        </w:rPr>
        <w:t>期貨</w:t>
      </w:r>
      <w:r w:rsidRPr="009431E2">
        <w:rPr>
          <w:rFonts w:ascii="標楷體" w:eastAsia="標楷體" w:hAnsi="標楷體" w:hint="eastAsia"/>
          <w:sz w:val="28"/>
          <w:szCs w:val="28"/>
        </w:rPr>
        <w:t>信託事業或其基金銷售機構應確認投資人申購匯款及支付贖回款項係以客戶本人名義為之，但匯款人與受益憑證受益人之關係為配偶、未成年子女者，不在此限。</w:t>
      </w:r>
    </w:p>
    <w:p w:rsidR="00B52968" w:rsidRPr="009431E2" w:rsidRDefault="00B52968" w:rsidP="00B52968">
      <w:pPr>
        <w:pStyle w:val="Layout"/>
        <w:snapToGrid w:val="0"/>
        <w:ind w:leftChars="585" w:left="1404"/>
        <w:jc w:val="both"/>
        <w:rPr>
          <w:rFonts w:ascii="標楷體" w:eastAsia="標楷體" w:hAnsi="標楷體" w:hint="eastAsia"/>
          <w:sz w:val="28"/>
          <w:szCs w:val="28"/>
        </w:rPr>
      </w:pPr>
      <w:r w:rsidRPr="009431E2">
        <w:rPr>
          <w:rFonts w:ascii="標楷體" w:eastAsia="標楷體" w:hAnsi="標楷體" w:hint="eastAsia"/>
          <w:sz w:val="28"/>
          <w:szCs w:val="28"/>
        </w:rPr>
        <w:t>期貨信託事業或基金銷售機構依上述辦理本基金性質與可能風險之告知作業時，如客戶曾購買具有性質與風險來源類似之期貨信託基金者，期貨信託事業或基金銷售機構得經客戶之同意，免辦理上述風險告知作業，惟仍應提供風險預告書，並留存客戶同意免辦解說之同意書、客戶簽署之風險預告書及相關證明文件。</w:t>
      </w:r>
    </w:p>
    <w:p w:rsidR="00B52968" w:rsidRPr="009431E2" w:rsidRDefault="00B52968" w:rsidP="00B52968">
      <w:pPr>
        <w:pStyle w:val="Layout"/>
        <w:snapToGrid w:val="0"/>
        <w:ind w:leftChars="585" w:left="1404"/>
        <w:jc w:val="both"/>
        <w:rPr>
          <w:rFonts w:ascii="標楷體" w:eastAsia="標楷體" w:hAnsi="標楷體"/>
          <w:sz w:val="28"/>
          <w:szCs w:val="28"/>
        </w:rPr>
      </w:pPr>
      <w:r w:rsidRPr="009431E2">
        <w:rPr>
          <w:rFonts w:ascii="標楷體" w:eastAsia="標楷體" w:hAnsi="標楷體" w:hint="eastAsia"/>
          <w:sz w:val="28"/>
          <w:szCs w:val="28"/>
        </w:rPr>
        <w:t>針對同一</w:t>
      </w:r>
      <w:proofErr w:type="gramStart"/>
      <w:r w:rsidRPr="009431E2">
        <w:rPr>
          <w:rFonts w:ascii="標楷體" w:eastAsia="標楷體" w:hAnsi="標楷體" w:hint="eastAsia"/>
          <w:sz w:val="28"/>
          <w:szCs w:val="28"/>
        </w:rPr>
        <w:t>檔</w:t>
      </w:r>
      <w:proofErr w:type="gramEnd"/>
      <w:r w:rsidRPr="009431E2">
        <w:rPr>
          <w:rFonts w:ascii="標楷體" w:eastAsia="標楷體" w:hAnsi="標楷體" w:hint="eastAsia"/>
          <w:sz w:val="28"/>
          <w:szCs w:val="28"/>
        </w:rPr>
        <w:t>基金同一申購人第二次（含）以上辦理申購時，期貨信託事業或基金銷售機構得免辦理上述風險告知與風險文件簽署流程。</w:t>
      </w:r>
    </w:p>
    <w:p w:rsidR="00B52968" w:rsidRPr="00B449F2" w:rsidRDefault="00B52968" w:rsidP="00B52968">
      <w:pPr>
        <w:pStyle w:val="Layout"/>
        <w:snapToGrid w:val="0"/>
        <w:ind w:leftChars="-63" w:left="1406" w:hangingChars="556" w:hanging="1557"/>
        <w:jc w:val="both"/>
        <w:rPr>
          <w:rFonts w:ascii="標楷體" w:eastAsia="標楷體" w:hAnsi="標楷體" w:hint="eastAsia"/>
          <w:sz w:val="28"/>
          <w:szCs w:val="28"/>
        </w:rPr>
      </w:pPr>
      <w:r w:rsidRPr="00B449F2">
        <w:rPr>
          <w:rFonts w:ascii="標楷體" w:eastAsia="標楷體" w:hAnsi="標楷體" w:hint="eastAsia"/>
          <w:sz w:val="28"/>
          <w:szCs w:val="28"/>
        </w:rPr>
        <w:t>第十七條</w:t>
      </w:r>
      <w:r w:rsidRPr="00B449F2">
        <w:rPr>
          <w:rFonts w:ascii="標楷體" w:eastAsia="標楷體" w:hAnsi="標楷體"/>
          <w:sz w:val="28"/>
          <w:szCs w:val="28"/>
        </w:rPr>
        <w:tab/>
      </w:r>
      <w:r w:rsidRPr="00B449F2">
        <w:rPr>
          <w:rFonts w:ascii="標楷體" w:eastAsia="標楷體" w:hAnsi="標楷體" w:hint="eastAsia"/>
          <w:sz w:val="28"/>
          <w:szCs w:val="28"/>
        </w:rPr>
        <w:t>期貨信託事業應依不同基金之特性，訂定其受理基金申購申請之截止時間，及該事業委任之基金銷售機構亦應訂定其受理申購申請截止時間，除能證明客戶係於受理截止時間前提出申購申請者外，逾時申請應視為次一營業日之交易。</w:t>
      </w:r>
    </w:p>
    <w:p w:rsidR="00B52968" w:rsidRPr="00B449F2" w:rsidRDefault="00B52968" w:rsidP="00B52968">
      <w:pPr>
        <w:pStyle w:val="Layout"/>
        <w:snapToGrid w:val="0"/>
        <w:ind w:leftChars="585" w:left="1404"/>
        <w:jc w:val="both"/>
        <w:rPr>
          <w:rFonts w:ascii="標楷體" w:eastAsia="標楷體" w:hAnsi="標楷體" w:hint="eastAsia"/>
          <w:sz w:val="28"/>
          <w:szCs w:val="28"/>
        </w:rPr>
      </w:pPr>
      <w:r w:rsidRPr="00B449F2">
        <w:rPr>
          <w:rFonts w:ascii="標楷體" w:eastAsia="標楷體" w:hAnsi="標楷體" w:hint="eastAsia"/>
          <w:sz w:val="28"/>
          <w:szCs w:val="28"/>
        </w:rPr>
        <w:lastRenderedPageBreak/>
        <w:t>前項受理申購申請之截止時間，期貨信託事業及其基金銷售機構應確實嚴格執行，並應將該資訊載明於基金公開說明書、相關銷售文件及公司網站。</w:t>
      </w:r>
    </w:p>
    <w:p w:rsidR="00B52968" w:rsidRPr="00B449F2" w:rsidRDefault="00B52968" w:rsidP="00B52968">
      <w:pPr>
        <w:pStyle w:val="Layout"/>
        <w:snapToGrid w:val="0"/>
        <w:ind w:leftChars="585" w:left="1404"/>
        <w:jc w:val="both"/>
        <w:rPr>
          <w:rFonts w:ascii="標楷體" w:eastAsia="標楷體" w:hAnsi="標楷體" w:hint="eastAsia"/>
          <w:sz w:val="28"/>
          <w:szCs w:val="28"/>
        </w:rPr>
      </w:pPr>
      <w:r w:rsidRPr="00B449F2">
        <w:rPr>
          <w:rFonts w:ascii="標楷體" w:eastAsia="標楷體" w:hAnsi="標楷體" w:hint="eastAsia"/>
          <w:sz w:val="28"/>
          <w:szCs w:val="28"/>
        </w:rPr>
        <w:t>申購人應於申購當日交付基金申購書件及申購價金，除發行期貨信託基金之期貨信託事業及其委任並以自己名義為客戶申購基金之基金銷售機構，得直接收受客戶之申購價金轉入基金專戶外，其它基金銷售機構應要求申購人將申購價金直接</w:t>
      </w:r>
      <w:proofErr w:type="gramStart"/>
      <w:r w:rsidRPr="00B449F2">
        <w:rPr>
          <w:rFonts w:ascii="標楷體" w:eastAsia="標楷體" w:hAnsi="標楷體" w:hint="eastAsia"/>
          <w:sz w:val="28"/>
          <w:szCs w:val="28"/>
        </w:rPr>
        <w:t>匯</w:t>
      </w:r>
      <w:proofErr w:type="gramEnd"/>
      <w:r w:rsidRPr="00B449F2">
        <w:rPr>
          <w:rFonts w:ascii="標楷體" w:eastAsia="標楷體" w:hAnsi="標楷體" w:hint="eastAsia"/>
          <w:sz w:val="28"/>
          <w:szCs w:val="28"/>
        </w:rPr>
        <w:t>撥至基金專戶。</w:t>
      </w:r>
    </w:p>
    <w:p w:rsidR="00B52968" w:rsidRDefault="00B52968" w:rsidP="00B52968">
      <w:pPr>
        <w:pStyle w:val="Layout"/>
        <w:snapToGrid w:val="0"/>
        <w:ind w:leftChars="585" w:left="1404"/>
        <w:jc w:val="both"/>
        <w:rPr>
          <w:rFonts w:ascii="標楷體" w:eastAsia="標楷體" w:hAnsi="標楷體" w:hint="eastAsia"/>
          <w:sz w:val="28"/>
          <w:szCs w:val="28"/>
        </w:rPr>
      </w:pPr>
      <w:r w:rsidRPr="00B449F2">
        <w:rPr>
          <w:rFonts w:ascii="標楷體" w:eastAsia="標楷體" w:hAnsi="標楷體" w:hint="eastAsia"/>
          <w:sz w:val="28"/>
          <w:szCs w:val="28"/>
        </w:rPr>
        <w:t>期貨信託事業應以申購人之申購價金進入基金專戶當日淨值為計算標準，計算申購單位數。但基金銷售機構以</w:t>
      </w:r>
      <w:proofErr w:type="gramStart"/>
      <w:r w:rsidRPr="00B449F2">
        <w:rPr>
          <w:rFonts w:ascii="標楷體" w:eastAsia="標楷體" w:hAnsi="標楷體" w:hint="eastAsia"/>
          <w:sz w:val="28"/>
          <w:szCs w:val="28"/>
        </w:rPr>
        <w:t>自已</w:t>
      </w:r>
      <w:proofErr w:type="gramEnd"/>
      <w:r w:rsidRPr="00B449F2">
        <w:rPr>
          <w:rFonts w:ascii="標楷體" w:eastAsia="標楷體" w:hAnsi="標楷體" w:hint="eastAsia"/>
          <w:sz w:val="28"/>
          <w:szCs w:val="28"/>
        </w:rPr>
        <w:t>名義為客戶申購基金，或客戶於申購當日透過金融機構帳戶扣繳申購款項時，該等機構如於受理申購或扣款之次一營業日上午十時前將申購價金</w:t>
      </w:r>
      <w:proofErr w:type="gramStart"/>
      <w:r w:rsidRPr="00B449F2">
        <w:rPr>
          <w:rFonts w:ascii="標楷體" w:eastAsia="標楷體" w:hAnsi="標楷體" w:hint="eastAsia"/>
          <w:sz w:val="28"/>
          <w:szCs w:val="28"/>
        </w:rPr>
        <w:t>匯</w:t>
      </w:r>
      <w:proofErr w:type="gramEnd"/>
      <w:r w:rsidRPr="00B449F2">
        <w:rPr>
          <w:rFonts w:ascii="標楷體" w:eastAsia="標楷體" w:hAnsi="標楷體" w:hint="eastAsia"/>
          <w:sz w:val="28"/>
          <w:szCs w:val="28"/>
        </w:rPr>
        <w:t>撥基金</w:t>
      </w:r>
      <w:proofErr w:type="gramStart"/>
      <w:r w:rsidRPr="00B449F2">
        <w:rPr>
          <w:rFonts w:ascii="標楷體" w:eastAsia="標楷體" w:hAnsi="標楷體" w:hint="eastAsia"/>
          <w:sz w:val="28"/>
          <w:szCs w:val="28"/>
        </w:rPr>
        <w:t>專戶者</w:t>
      </w:r>
      <w:proofErr w:type="gramEnd"/>
      <w:r w:rsidRPr="00B449F2">
        <w:rPr>
          <w:rFonts w:ascii="標楷體" w:eastAsia="標楷體" w:hAnsi="標楷體" w:hint="eastAsia"/>
          <w:sz w:val="28"/>
          <w:szCs w:val="28"/>
        </w:rPr>
        <w:t>，</w:t>
      </w:r>
      <w:r w:rsidRPr="009431E2">
        <w:rPr>
          <w:rFonts w:ascii="標楷體" w:eastAsia="標楷體" w:hAnsi="標楷體"/>
          <w:sz w:val="28"/>
          <w:szCs w:val="28"/>
        </w:rPr>
        <w:t>或該等機構因依銀行法第</w:t>
      </w:r>
      <w:r w:rsidRPr="009431E2">
        <w:rPr>
          <w:rFonts w:ascii="標楷體" w:eastAsia="標楷體" w:hAnsi="標楷體" w:hint="eastAsia"/>
          <w:sz w:val="28"/>
          <w:szCs w:val="28"/>
        </w:rPr>
        <w:t>四十七條之三</w:t>
      </w:r>
      <w:r w:rsidRPr="009431E2">
        <w:rPr>
          <w:rFonts w:ascii="標楷體" w:eastAsia="標楷體" w:hAnsi="標楷體"/>
          <w:sz w:val="28"/>
          <w:szCs w:val="28"/>
        </w:rPr>
        <w:t>設立之金融資訊服務事業跨行網路系統之不可抗力情事致申購款項未於受理申購或扣款之次一營業日上午十時前</w:t>
      </w:r>
      <w:proofErr w:type="gramStart"/>
      <w:r w:rsidRPr="009431E2">
        <w:rPr>
          <w:rFonts w:ascii="標楷體" w:eastAsia="標楷體" w:hAnsi="標楷體"/>
          <w:sz w:val="28"/>
          <w:szCs w:val="28"/>
        </w:rPr>
        <w:t>匯</w:t>
      </w:r>
      <w:proofErr w:type="gramEnd"/>
      <w:r w:rsidRPr="009431E2">
        <w:rPr>
          <w:rFonts w:ascii="標楷體" w:eastAsia="標楷體" w:hAnsi="標楷體"/>
          <w:sz w:val="28"/>
          <w:szCs w:val="28"/>
        </w:rPr>
        <w:t>撥至基金</w:t>
      </w:r>
      <w:proofErr w:type="gramStart"/>
      <w:r w:rsidRPr="009431E2">
        <w:rPr>
          <w:rFonts w:ascii="標楷體" w:eastAsia="標楷體" w:hAnsi="標楷體"/>
          <w:sz w:val="28"/>
          <w:szCs w:val="28"/>
        </w:rPr>
        <w:t>專戶者</w:t>
      </w:r>
      <w:proofErr w:type="gramEnd"/>
      <w:r w:rsidRPr="009431E2">
        <w:rPr>
          <w:rFonts w:ascii="標楷體" w:eastAsia="標楷體" w:hAnsi="標楷體"/>
          <w:sz w:val="28"/>
          <w:szCs w:val="28"/>
        </w:rPr>
        <w:t>，</w:t>
      </w:r>
      <w:r w:rsidRPr="00B449F2">
        <w:rPr>
          <w:rFonts w:ascii="標楷體" w:eastAsia="標楷體" w:hAnsi="標楷體" w:hint="eastAsia"/>
          <w:sz w:val="28"/>
          <w:szCs w:val="28"/>
        </w:rPr>
        <w:t>亦以申購當日淨值計算申購單位數。</w:t>
      </w:r>
    </w:p>
    <w:p w:rsidR="00B52968" w:rsidRPr="001E5241" w:rsidRDefault="00B52968" w:rsidP="00B52968">
      <w:pPr>
        <w:pStyle w:val="Layout"/>
        <w:snapToGrid w:val="0"/>
        <w:ind w:leftChars="585" w:left="1404"/>
        <w:jc w:val="both"/>
        <w:rPr>
          <w:rFonts w:ascii="標楷體" w:eastAsia="標楷體" w:hAnsi="標楷體" w:hint="eastAsia"/>
          <w:sz w:val="28"/>
          <w:szCs w:val="28"/>
        </w:rPr>
      </w:pPr>
      <w:r w:rsidRPr="001E5241">
        <w:rPr>
          <w:rFonts w:ascii="標楷體" w:eastAsia="標楷體" w:hAnsi="標楷體" w:hint="eastAsia"/>
          <w:sz w:val="28"/>
          <w:szCs w:val="28"/>
        </w:rPr>
        <w:t>基金銷售機構之款項收付作業透過證券集中保管事業辦理者，該事業如已於受理申購或扣款之次一營業日前將申購價金指示</w:t>
      </w:r>
      <w:proofErr w:type="gramStart"/>
      <w:r w:rsidRPr="001E5241">
        <w:rPr>
          <w:rFonts w:ascii="標楷體" w:eastAsia="標楷體" w:hAnsi="標楷體" w:hint="eastAsia"/>
          <w:sz w:val="28"/>
          <w:szCs w:val="28"/>
        </w:rPr>
        <w:t>匯</w:t>
      </w:r>
      <w:proofErr w:type="gramEnd"/>
      <w:r w:rsidRPr="001E5241">
        <w:rPr>
          <w:rFonts w:ascii="標楷體" w:eastAsia="標楷體" w:hAnsi="標楷體" w:hint="eastAsia"/>
          <w:sz w:val="28"/>
          <w:szCs w:val="28"/>
        </w:rPr>
        <w:t>撥，且於受理申購或扣款之次一營業日期貨信託事業確認申購款項已匯入基金專戶，或取得該事業提供已於受理申購或扣款之次一營業日前指示</w:t>
      </w:r>
      <w:proofErr w:type="gramStart"/>
      <w:r w:rsidRPr="001E5241">
        <w:rPr>
          <w:rFonts w:ascii="標楷體" w:eastAsia="標楷體" w:hAnsi="標楷體" w:hint="eastAsia"/>
          <w:sz w:val="28"/>
          <w:szCs w:val="28"/>
        </w:rPr>
        <w:t>匯</w:t>
      </w:r>
      <w:proofErr w:type="gramEnd"/>
      <w:r w:rsidRPr="001E5241">
        <w:rPr>
          <w:rFonts w:ascii="標楷體" w:eastAsia="標楷體" w:hAnsi="標楷體" w:hint="eastAsia"/>
          <w:sz w:val="28"/>
          <w:szCs w:val="28"/>
        </w:rPr>
        <w:t>撥之匯款證明文件者，亦以申購當日淨值計算申購單位數。</w:t>
      </w:r>
    </w:p>
    <w:p w:rsidR="00B52968" w:rsidRPr="00B449F2" w:rsidRDefault="00B52968" w:rsidP="00B52968">
      <w:pPr>
        <w:pStyle w:val="Layout"/>
        <w:snapToGrid w:val="0"/>
        <w:ind w:leftChars="585" w:left="1404"/>
        <w:jc w:val="both"/>
        <w:rPr>
          <w:rFonts w:ascii="標楷體" w:eastAsia="標楷體" w:hAnsi="標楷體" w:hint="eastAsia"/>
          <w:sz w:val="28"/>
          <w:szCs w:val="28"/>
        </w:rPr>
      </w:pPr>
      <w:r w:rsidRPr="00B449F2">
        <w:rPr>
          <w:rFonts w:ascii="標楷體" w:eastAsia="標楷體" w:hAnsi="標楷體" w:hint="eastAsia"/>
          <w:sz w:val="28"/>
          <w:szCs w:val="28"/>
        </w:rPr>
        <w:t>受益人申請於同一公司不同基金之轉申購，期貨信託事業應以該買回價款實際轉入所申購基金專戶時當日之淨值為計價基準，計算所得申購之單位數。</w:t>
      </w:r>
    </w:p>
    <w:p w:rsidR="00B52968" w:rsidRPr="00B449F2" w:rsidRDefault="00B52968" w:rsidP="00B52968">
      <w:pPr>
        <w:pStyle w:val="Layout"/>
        <w:snapToGrid w:val="0"/>
        <w:ind w:leftChars="585" w:left="1404"/>
        <w:jc w:val="both"/>
        <w:rPr>
          <w:rFonts w:ascii="標楷體" w:eastAsia="標楷體" w:hAnsi="標楷體" w:hint="eastAsia"/>
          <w:sz w:val="28"/>
          <w:szCs w:val="28"/>
        </w:rPr>
      </w:pPr>
      <w:r w:rsidRPr="00B449F2">
        <w:rPr>
          <w:rFonts w:ascii="標楷體" w:eastAsia="標楷體" w:hAnsi="標楷體" w:hint="eastAsia"/>
          <w:sz w:val="28"/>
          <w:szCs w:val="28"/>
        </w:rPr>
        <w:t>受益人申請買回基金並同時申請於次一營業日申購同一基金，期貨信託事業得以該次一營業日之基金淨值為計價基準，計算所得申購之單位數。</w:t>
      </w:r>
    </w:p>
    <w:p w:rsidR="00B52968" w:rsidRPr="00B449F2" w:rsidRDefault="00B52968" w:rsidP="00B52968">
      <w:pPr>
        <w:pStyle w:val="Layout"/>
        <w:snapToGrid w:val="0"/>
        <w:ind w:leftChars="-63" w:left="1406" w:hangingChars="556" w:hanging="1557"/>
        <w:jc w:val="both"/>
        <w:rPr>
          <w:rFonts w:ascii="標楷體" w:eastAsia="標楷體" w:hAnsi="標楷體" w:hint="eastAsia"/>
          <w:sz w:val="28"/>
          <w:szCs w:val="28"/>
        </w:rPr>
      </w:pPr>
      <w:r w:rsidRPr="00B449F2">
        <w:rPr>
          <w:rFonts w:ascii="標楷體" w:eastAsia="標楷體" w:hAnsi="標楷體" w:hint="eastAsia"/>
          <w:sz w:val="28"/>
          <w:szCs w:val="28"/>
        </w:rPr>
        <w:t>第十八條</w:t>
      </w:r>
      <w:r w:rsidRPr="00B449F2">
        <w:rPr>
          <w:rFonts w:ascii="標楷體" w:eastAsia="標楷體" w:hAnsi="標楷體"/>
          <w:sz w:val="28"/>
          <w:szCs w:val="28"/>
        </w:rPr>
        <w:tab/>
      </w:r>
      <w:r w:rsidRPr="00B449F2">
        <w:rPr>
          <w:rFonts w:ascii="標楷體" w:eastAsia="標楷體" w:hAnsi="標楷體" w:hint="eastAsia"/>
          <w:sz w:val="28"/>
          <w:szCs w:val="28"/>
        </w:rPr>
        <w:t>期貨信託基金每受益權單位之申購價金應包括發行價格及申購手續費，期貨信託事業得依發行價格之一定比例，訂定合理之申購手續費收取標準，並揭露於公開說明書；申購手續費不列入基金資產。</w:t>
      </w:r>
    </w:p>
    <w:p w:rsidR="00B52968" w:rsidRPr="00B449F2" w:rsidRDefault="00B52968" w:rsidP="00B52968">
      <w:pPr>
        <w:pStyle w:val="Layout"/>
        <w:snapToGrid w:val="0"/>
        <w:ind w:leftChars="-63" w:left="1406" w:hangingChars="556" w:hanging="1557"/>
        <w:jc w:val="both"/>
        <w:rPr>
          <w:rFonts w:ascii="標楷體" w:eastAsia="標楷體" w:hAnsi="標楷體" w:hint="eastAsia"/>
          <w:sz w:val="28"/>
          <w:szCs w:val="28"/>
        </w:rPr>
      </w:pPr>
      <w:r w:rsidRPr="00B449F2">
        <w:rPr>
          <w:rFonts w:ascii="標楷體" w:eastAsia="標楷體" w:hAnsi="標楷體" w:hint="eastAsia"/>
          <w:sz w:val="28"/>
          <w:szCs w:val="28"/>
        </w:rPr>
        <w:t>第十九條</w:t>
      </w:r>
      <w:r w:rsidRPr="00B449F2">
        <w:rPr>
          <w:rFonts w:ascii="標楷體" w:eastAsia="標楷體" w:hAnsi="標楷體"/>
          <w:sz w:val="28"/>
          <w:szCs w:val="28"/>
        </w:rPr>
        <w:tab/>
      </w:r>
      <w:r w:rsidRPr="00B449F2">
        <w:rPr>
          <w:rFonts w:ascii="標楷體" w:eastAsia="標楷體" w:hAnsi="標楷體" w:hint="eastAsia"/>
          <w:sz w:val="28"/>
          <w:szCs w:val="28"/>
        </w:rPr>
        <w:t>期貨信託事業及其基金銷售機構應建立可於客戶之申購申請書件上明確註記其受理申請之日期及時間之機制，惟客戶如非以書面而是係以其它約定方式提出申請者，期貨信託事業及其基金銷售機構之相關作業系統須具有明確記載上開訊息之功能，並保留稽核軌跡，備供查核。</w:t>
      </w:r>
    </w:p>
    <w:p w:rsidR="00B52968" w:rsidRPr="00B449F2" w:rsidRDefault="00B52968" w:rsidP="00B52968">
      <w:pPr>
        <w:pStyle w:val="Layout"/>
        <w:snapToGrid w:val="0"/>
        <w:ind w:leftChars="-63" w:left="1406" w:hangingChars="556" w:hanging="1557"/>
        <w:jc w:val="both"/>
        <w:rPr>
          <w:rFonts w:ascii="標楷體" w:eastAsia="標楷體" w:hAnsi="標楷體" w:hint="eastAsia"/>
          <w:sz w:val="28"/>
          <w:szCs w:val="28"/>
        </w:rPr>
      </w:pPr>
      <w:r w:rsidRPr="00B449F2">
        <w:rPr>
          <w:rFonts w:ascii="標楷體" w:eastAsia="標楷體" w:hAnsi="標楷體" w:hint="eastAsia"/>
          <w:sz w:val="28"/>
          <w:szCs w:val="28"/>
        </w:rPr>
        <w:t xml:space="preserve">第二十條  </w:t>
      </w:r>
      <w:r>
        <w:rPr>
          <w:rFonts w:ascii="標楷體" w:eastAsia="標楷體" w:hAnsi="標楷體" w:hint="eastAsia"/>
          <w:sz w:val="28"/>
          <w:szCs w:val="28"/>
        </w:rPr>
        <w:t xml:space="preserve"> </w:t>
      </w:r>
      <w:r w:rsidRPr="00B449F2">
        <w:rPr>
          <w:rFonts w:ascii="標楷體" w:eastAsia="標楷體" w:hAnsi="標楷體" w:hint="eastAsia"/>
          <w:sz w:val="28"/>
          <w:szCs w:val="28"/>
        </w:rPr>
        <w:t>期貨信託基金成立日前（不含當日）</w:t>
      </w:r>
      <w:r w:rsidRPr="009431E2">
        <w:rPr>
          <w:rFonts w:ascii="標楷體" w:eastAsia="標楷體" w:hAnsi="標楷體"/>
          <w:sz w:val="28"/>
          <w:szCs w:val="28"/>
        </w:rPr>
        <w:t>，除指數股票型</w:t>
      </w:r>
      <w:r w:rsidRPr="00B449F2">
        <w:rPr>
          <w:rFonts w:ascii="標楷體" w:eastAsia="標楷體" w:hAnsi="標楷體" w:hint="eastAsia"/>
          <w:sz w:val="28"/>
          <w:szCs w:val="28"/>
        </w:rPr>
        <w:t>期貨信託基金</w:t>
      </w:r>
      <w:r w:rsidRPr="009431E2">
        <w:rPr>
          <w:rFonts w:ascii="標楷體" w:eastAsia="標楷體" w:hAnsi="標楷體"/>
          <w:sz w:val="28"/>
          <w:szCs w:val="28"/>
        </w:rPr>
        <w:t>外</w:t>
      </w:r>
      <w:r w:rsidRPr="00B449F2">
        <w:rPr>
          <w:rFonts w:ascii="標楷體" w:eastAsia="標楷體" w:hAnsi="標楷體" w:hint="eastAsia"/>
          <w:sz w:val="28"/>
          <w:szCs w:val="28"/>
        </w:rPr>
        <w:t>，每受益權單位之發行價格為新台幣壹拾元。期貨信託基金</w:t>
      </w:r>
      <w:r w:rsidRPr="00B449F2">
        <w:rPr>
          <w:rFonts w:ascii="標楷體" w:eastAsia="標楷體" w:hAnsi="標楷體" w:hint="eastAsia"/>
          <w:sz w:val="28"/>
          <w:szCs w:val="28"/>
        </w:rPr>
        <w:lastRenderedPageBreak/>
        <w:t>自成立日起，每受益權單位之發行價格為申購日當日每受益權單位淨資產價值。期貨信託事業應依客戶申購當日之每受益權單位淨資產價值計算其所申購之受益權單位數。</w:t>
      </w:r>
    </w:p>
    <w:p w:rsidR="00B52968" w:rsidRPr="009431E2" w:rsidRDefault="00B52968" w:rsidP="00B52968">
      <w:pPr>
        <w:pStyle w:val="Layout"/>
        <w:snapToGrid w:val="0"/>
        <w:ind w:leftChars="-63" w:left="1686" w:hangingChars="656" w:hanging="1837"/>
        <w:jc w:val="both"/>
        <w:rPr>
          <w:rFonts w:ascii="標楷體" w:eastAsia="標楷體" w:hAnsi="標楷體"/>
          <w:sz w:val="28"/>
          <w:szCs w:val="28"/>
        </w:rPr>
      </w:pPr>
      <w:r w:rsidRPr="00EE05E2">
        <w:rPr>
          <w:rFonts w:ascii="標楷體" w:eastAsia="標楷體" w:hAnsi="標楷體" w:hint="eastAsia"/>
          <w:sz w:val="28"/>
          <w:szCs w:val="28"/>
        </w:rPr>
        <w:t>第二十一條   期貨信託</w:t>
      </w:r>
      <w:r w:rsidRPr="009431E2">
        <w:rPr>
          <w:rFonts w:ascii="標楷體" w:eastAsia="標楷體" w:hAnsi="標楷體"/>
          <w:sz w:val="28"/>
          <w:szCs w:val="28"/>
        </w:rPr>
        <w:t>基金銷售機構辦理指數股票型</w:t>
      </w:r>
      <w:r w:rsidRPr="00EE05E2">
        <w:rPr>
          <w:rFonts w:ascii="標楷體" w:eastAsia="標楷體" w:hAnsi="標楷體" w:hint="eastAsia"/>
          <w:sz w:val="28"/>
          <w:szCs w:val="28"/>
        </w:rPr>
        <w:t>期貨信託</w:t>
      </w:r>
      <w:r w:rsidRPr="009431E2">
        <w:rPr>
          <w:rFonts w:ascii="標楷體" w:eastAsia="標楷體" w:hAnsi="標楷體"/>
          <w:sz w:val="28"/>
          <w:szCs w:val="28"/>
        </w:rPr>
        <w:t>基金成立日前之申購業務，得依下列規定辦理：</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2240" w:hangingChars="200" w:hanging="560"/>
        <w:rPr>
          <w:rFonts w:ascii="標楷體" w:eastAsia="標楷體" w:hAnsi="標楷體" w:cs="細明體"/>
          <w:kern w:val="0"/>
          <w:sz w:val="28"/>
          <w:szCs w:val="28"/>
        </w:rPr>
      </w:pPr>
      <w:r w:rsidRPr="00EE05E2">
        <w:rPr>
          <w:rFonts w:ascii="標楷體" w:eastAsia="標楷體" w:hAnsi="標楷體" w:cs="細明體"/>
          <w:kern w:val="0"/>
          <w:sz w:val="28"/>
          <w:szCs w:val="28"/>
        </w:rPr>
        <w:t>一、依第十</w:t>
      </w:r>
      <w:r w:rsidRPr="00EE05E2">
        <w:rPr>
          <w:rFonts w:ascii="標楷體" w:eastAsia="標楷體" w:hAnsi="標楷體" w:cs="細明體" w:hint="eastAsia"/>
          <w:kern w:val="0"/>
          <w:sz w:val="28"/>
          <w:szCs w:val="28"/>
        </w:rPr>
        <w:t>六</w:t>
      </w:r>
      <w:r w:rsidRPr="00EE05E2">
        <w:rPr>
          <w:rFonts w:ascii="標楷體" w:eastAsia="標楷體" w:hAnsi="標楷體" w:cs="細明體"/>
          <w:kern w:val="0"/>
          <w:sz w:val="28"/>
          <w:szCs w:val="28"/>
        </w:rPr>
        <w:t>條規定製作之瞭解客戶、開戶</w:t>
      </w:r>
      <w:r w:rsidRPr="00EE05E2">
        <w:rPr>
          <w:rFonts w:ascii="標楷體" w:eastAsia="標楷體" w:hAnsi="標楷體" w:cs="細明體" w:hint="eastAsia"/>
          <w:kern w:val="0"/>
          <w:sz w:val="28"/>
        </w:rPr>
        <w:t>、</w:t>
      </w:r>
      <w:r w:rsidRPr="00EE05E2">
        <w:rPr>
          <w:rFonts w:ascii="標楷體" w:eastAsia="標楷體" w:hAnsi="標楷體" w:cs="細明體"/>
          <w:kern w:val="0"/>
          <w:sz w:val="28"/>
        </w:rPr>
        <w:t>申購</w:t>
      </w:r>
      <w:r w:rsidRPr="00EE05E2">
        <w:rPr>
          <w:rFonts w:ascii="標楷體" w:eastAsia="標楷體" w:hAnsi="標楷體" w:cs="細明體" w:hint="eastAsia"/>
          <w:kern w:val="0"/>
          <w:sz w:val="28"/>
        </w:rPr>
        <w:t>及風險預告</w:t>
      </w:r>
      <w:r w:rsidRPr="00EE05E2">
        <w:rPr>
          <w:rFonts w:ascii="標楷體" w:eastAsia="標楷體" w:hAnsi="標楷體" w:cs="細明體"/>
          <w:kern w:val="0"/>
          <w:sz w:val="28"/>
        </w:rPr>
        <w:t>等文件</w:t>
      </w:r>
      <w:r w:rsidRPr="00EE05E2">
        <w:rPr>
          <w:rFonts w:ascii="標楷體" w:eastAsia="標楷體" w:hAnsi="標楷體" w:cs="細明體"/>
          <w:kern w:val="0"/>
          <w:sz w:val="28"/>
          <w:szCs w:val="28"/>
        </w:rPr>
        <w:t>不需再轉送</w:t>
      </w:r>
      <w:r w:rsidRPr="00EE05E2">
        <w:rPr>
          <w:rFonts w:ascii="標楷體" w:eastAsia="標楷體" w:hAnsi="標楷體" w:cs="細明體" w:hint="eastAsia"/>
          <w:kern w:val="0"/>
          <w:sz w:val="28"/>
          <w:szCs w:val="28"/>
        </w:rPr>
        <w:t>期貨</w:t>
      </w:r>
      <w:r w:rsidRPr="00EE05E2">
        <w:rPr>
          <w:rFonts w:ascii="標楷體" w:eastAsia="標楷體" w:hAnsi="標楷體" w:cs="細明體"/>
          <w:kern w:val="0"/>
          <w:sz w:val="28"/>
          <w:szCs w:val="28"/>
        </w:rPr>
        <w:t>信託事業留存。</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2240" w:hangingChars="200" w:hanging="560"/>
        <w:rPr>
          <w:rFonts w:ascii="標楷體" w:eastAsia="標楷體" w:hAnsi="標楷體" w:cs="細明體" w:hint="eastAsia"/>
          <w:kern w:val="0"/>
          <w:sz w:val="28"/>
          <w:szCs w:val="28"/>
        </w:rPr>
      </w:pPr>
      <w:r w:rsidRPr="00EE05E2">
        <w:rPr>
          <w:rFonts w:ascii="標楷體" w:eastAsia="標楷體" w:hAnsi="標楷體" w:cs="細明體"/>
          <w:kern w:val="0"/>
          <w:sz w:val="28"/>
          <w:szCs w:val="28"/>
        </w:rPr>
        <w:t>二、逐日製作包括投資人姓名、身分證字號（或統一編號）、有價證券集中保管帳戶、申購單位數、申購價款、手續費等資料之明細表交付給</w:t>
      </w:r>
      <w:r w:rsidRPr="00EE05E2">
        <w:rPr>
          <w:rFonts w:ascii="標楷體" w:eastAsia="標楷體" w:hAnsi="標楷體" w:cs="細明體" w:hint="eastAsia"/>
          <w:kern w:val="0"/>
          <w:sz w:val="28"/>
          <w:szCs w:val="28"/>
        </w:rPr>
        <w:t>期貨</w:t>
      </w:r>
      <w:r w:rsidRPr="00EE05E2">
        <w:rPr>
          <w:rFonts w:ascii="標楷體" w:eastAsia="標楷體" w:hAnsi="標楷體" w:cs="細明體"/>
          <w:kern w:val="0"/>
          <w:sz w:val="28"/>
          <w:szCs w:val="28"/>
        </w:rPr>
        <w:t>信託事業。</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2240" w:hangingChars="200" w:hanging="560"/>
        <w:jc w:val="both"/>
        <w:rPr>
          <w:rFonts w:ascii="標楷體" w:eastAsia="標楷體" w:hAnsi="標楷體" w:cs="細明體" w:hint="eastAsia"/>
          <w:kern w:val="0"/>
          <w:sz w:val="28"/>
          <w:szCs w:val="28"/>
        </w:rPr>
      </w:pPr>
      <w:r w:rsidRPr="00EE05E2">
        <w:rPr>
          <w:rFonts w:ascii="標楷體" w:eastAsia="標楷體" w:hAnsi="標楷體" w:cs="細明體" w:hint="eastAsia"/>
          <w:kern w:val="0"/>
          <w:sz w:val="28"/>
          <w:szCs w:val="28"/>
        </w:rPr>
        <w:t>三、槓桿型指數股票型期貨信託基金(以下簡稱槓桿型期貨ETF)及</w:t>
      </w:r>
      <w:proofErr w:type="gramStart"/>
      <w:r w:rsidRPr="00EE05E2">
        <w:rPr>
          <w:rFonts w:ascii="標楷體" w:eastAsia="標楷體" w:hAnsi="標楷體" w:cs="細明體" w:hint="eastAsia"/>
          <w:kern w:val="0"/>
          <w:sz w:val="28"/>
          <w:szCs w:val="28"/>
        </w:rPr>
        <w:t>反向型</w:t>
      </w:r>
      <w:proofErr w:type="gramEnd"/>
      <w:r w:rsidRPr="00EE05E2">
        <w:rPr>
          <w:rFonts w:ascii="標楷體" w:eastAsia="標楷體" w:hAnsi="標楷體" w:cs="細明體" w:hint="eastAsia"/>
          <w:kern w:val="0"/>
          <w:sz w:val="28"/>
          <w:szCs w:val="28"/>
        </w:rPr>
        <w:t>指數股票型期貨信託基金(以下簡稱</w:t>
      </w:r>
      <w:proofErr w:type="gramStart"/>
      <w:r w:rsidRPr="00EE05E2">
        <w:rPr>
          <w:rFonts w:ascii="標楷體" w:eastAsia="標楷體" w:hAnsi="標楷體" w:cs="細明體" w:hint="eastAsia"/>
          <w:kern w:val="0"/>
          <w:sz w:val="28"/>
          <w:szCs w:val="28"/>
        </w:rPr>
        <w:t>反向型</w:t>
      </w:r>
      <w:proofErr w:type="gramEnd"/>
      <w:r w:rsidRPr="00EE05E2">
        <w:rPr>
          <w:rFonts w:ascii="標楷體" w:eastAsia="標楷體" w:hAnsi="標楷體" w:cs="細明體" w:hint="eastAsia"/>
          <w:kern w:val="0"/>
          <w:sz w:val="28"/>
          <w:szCs w:val="28"/>
        </w:rPr>
        <w:t>期貨ETF)於成立日前之申購作業，應先確認投資人符合證券交易所</w:t>
      </w:r>
      <w:r w:rsidRPr="001E5241">
        <w:rPr>
          <w:rFonts w:ascii="標楷體" w:eastAsia="標楷體" w:hAnsi="標楷體" w:cs="Arial" w:hint="eastAsia"/>
          <w:color w:val="0000FF"/>
          <w:kern w:val="0"/>
          <w:sz w:val="28"/>
          <w:szCs w:val="28"/>
          <w:u w:val="single"/>
        </w:rPr>
        <w:t>或證券櫃檯買賣中心</w:t>
      </w:r>
      <w:r w:rsidRPr="00EE05E2">
        <w:rPr>
          <w:rFonts w:ascii="標楷體" w:eastAsia="標楷體" w:hAnsi="標楷體" w:cs="細明體" w:hint="eastAsia"/>
          <w:kern w:val="0"/>
          <w:sz w:val="28"/>
          <w:szCs w:val="28"/>
        </w:rPr>
        <w:t>訂定之適格條件。</w:t>
      </w:r>
    </w:p>
    <w:p w:rsidR="00B52968" w:rsidRPr="00EE05E2" w:rsidRDefault="00B52968" w:rsidP="00B52968">
      <w:pPr>
        <w:pStyle w:val="Layout"/>
        <w:tabs>
          <w:tab w:val="left" w:pos="672"/>
        </w:tabs>
        <w:snapToGrid w:val="0"/>
        <w:ind w:leftChars="665" w:left="1596"/>
        <w:jc w:val="both"/>
        <w:rPr>
          <w:rFonts w:ascii="標楷體" w:eastAsia="標楷體" w:hAnsi="標楷體" w:hint="eastAsia"/>
          <w:sz w:val="28"/>
          <w:szCs w:val="28"/>
        </w:rPr>
      </w:pPr>
      <w:r w:rsidRPr="00EE05E2">
        <w:rPr>
          <w:rFonts w:ascii="標楷體" w:eastAsia="標楷體" w:hAnsi="標楷體" w:hint="eastAsia"/>
          <w:sz w:val="28"/>
          <w:szCs w:val="28"/>
        </w:rPr>
        <w:t>期貨信託事業辦理槓桿型期貨ETF及</w:t>
      </w:r>
      <w:proofErr w:type="gramStart"/>
      <w:r w:rsidRPr="00EE05E2">
        <w:rPr>
          <w:rFonts w:ascii="標楷體" w:eastAsia="標楷體" w:hAnsi="標楷體" w:hint="eastAsia"/>
          <w:sz w:val="28"/>
          <w:szCs w:val="28"/>
        </w:rPr>
        <w:t>反向型</w:t>
      </w:r>
      <w:proofErr w:type="gramEnd"/>
      <w:r w:rsidRPr="00EE05E2">
        <w:rPr>
          <w:rFonts w:ascii="標楷體" w:eastAsia="標楷體" w:hAnsi="標楷體" w:hint="eastAsia"/>
          <w:sz w:val="28"/>
          <w:szCs w:val="28"/>
        </w:rPr>
        <w:t>期貨ETF於成立日前之申購業務，</w:t>
      </w:r>
      <w:proofErr w:type="gramStart"/>
      <w:r w:rsidRPr="00EE05E2">
        <w:rPr>
          <w:rFonts w:ascii="標楷體" w:eastAsia="標楷體" w:hAnsi="標楷體" w:hint="eastAsia"/>
          <w:sz w:val="28"/>
          <w:szCs w:val="28"/>
        </w:rPr>
        <w:t>準</w:t>
      </w:r>
      <w:proofErr w:type="gramEnd"/>
      <w:r w:rsidRPr="00EE05E2">
        <w:rPr>
          <w:rFonts w:ascii="標楷體" w:eastAsia="標楷體" w:hAnsi="標楷體" w:hint="eastAsia"/>
          <w:sz w:val="28"/>
          <w:szCs w:val="28"/>
        </w:rPr>
        <w:t>用前項第三款規定。</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63" w:left="2229" w:hangingChars="850" w:hanging="2380"/>
        <w:rPr>
          <w:rFonts w:ascii="標楷體" w:eastAsia="標楷體" w:hAnsi="標楷體" w:hint="eastAsia"/>
          <w:sz w:val="28"/>
          <w:szCs w:val="28"/>
        </w:rPr>
      </w:pPr>
      <w:r w:rsidRPr="00EE05E2">
        <w:rPr>
          <w:rFonts w:ascii="標楷體" w:eastAsia="標楷體" w:hAnsi="標楷體" w:hint="eastAsia"/>
          <w:sz w:val="28"/>
          <w:szCs w:val="28"/>
        </w:rPr>
        <w:t>第二十一條之</w:t>
      </w:r>
      <w:proofErr w:type="gramStart"/>
      <w:r w:rsidRPr="00EE05E2">
        <w:rPr>
          <w:rFonts w:ascii="標楷體" w:eastAsia="標楷體" w:hAnsi="標楷體" w:hint="eastAsia"/>
          <w:sz w:val="28"/>
          <w:szCs w:val="28"/>
        </w:rPr>
        <w:t>ㄧ</w:t>
      </w:r>
      <w:proofErr w:type="gramEnd"/>
      <w:r w:rsidRPr="00EE05E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EE05E2">
        <w:rPr>
          <w:rFonts w:ascii="標楷體" w:eastAsia="標楷體" w:hAnsi="標楷體" w:hint="eastAsia"/>
          <w:sz w:val="28"/>
          <w:szCs w:val="28"/>
        </w:rPr>
        <w:t>期貨信託事業募集發行槓桿型期貨ETF及</w:t>
      </w:r>
      <w:proofErr w:type="gramStart"/>
      <w:r w:rsidRPr="00EE05E2">
        <w:rPr>
          <w:rFonts w:ascii="標楷體" w:eastAsia="標楷體" w:hAnsi="標楷體" w:hint="eastAsia"/>
          <w:sz w:val="28"/>
          <w:szCs w:val="28"/>
        </w:rPr>
        <w:t>反向型</w:t>
      </w:r>
      <w:proofErr w:type="gramEnd"/>
      <w:r w:rsidRPr="00EE05E2">
        <w:rPr>
          <w:rFonts w:ascii="標楷體" w:eastAsia="標楷體" w:hAnsi="標楷體" w:hint="eastAsia"/>
          <w:sz w:val="28"/>
          <w:szCs w:val="28"/>
        </w:rPr>
        <w:t>期貨ETF</w:t>
      </w:r>
    </w:p>
    <w:p w:rsidR="00B52968" w:rsidRPr="00EE05E2" w:rsidRDefault="00B52968" w:rsidP="00B52968">
      <w:pPr>
        <w:pStyle w:val="Layout"/>
        <w:tabs>
          <w:tab w:val="left" w:pos="672"/>
        </w:tabs>
        <w:snapToGrid w:val="0"/>
        <w:ind w:leftChars="1000" w:left="2400"/>
        <w:jc w:val="both"/>
        <w:rPr>
          <w:rFonts w:ascii="標楷體" w:eastAsia="標楷體" w:hAnsi="標楷體" w:hint="eastAsia"/>
          <w:sz w:val="28"/>
          <w:szCs w:val="28"/>
        </w:rPr>
      </w:pPr>
      <w:r w:rsidRPr="00EE05E2">
        <w:rPr>
          <w:rFonts w:ascii="標楷體" w:eastAsia="標楷體" w:hAnsi="標楷體" w:hint="eastAsia"/>
          <w:sz w:val="28"/>
          <w:szCs w:val="28"/>
        </w:rPr>
        <w:t>，期貨信託事業應於公開說明書</w:t>
      </w:r>
      <w:r w:rsidRPr="00EE05E2">
        <w:rPr>
          <w:rFonts w:ascii="標楷體" w:eastAsia="標楷體" w:hAnsi="標楷體"/>
          <w:sz w:val="28"/>
          <w:szCs w:val="28"/>
        </w:rPr>
        <w:t>、</w:t>
      </w:r>
      <w:r w:rsidRPr="00EE05E2">
        <w:rPr>
          <w:rFonts w:ascii="標楷體" w:eastAsia="標楷體" w:hAnsi="標楷體" w:hint="eastAsia"/>
          <w:sz w:val="28"/>
          <w:szCs w:val="28"/>
        </w:rPr>
        <w:t>銷售文件及公司網站以顯著方式及容易瞭解文字內容揭露下列事項：</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0" w:left="2960" w:hangingChars="200" w:hanging="560"/>
        <w:rPr>
          <w:rFonts w:ascii="標楷體" w:eastAsia="標楷體" w:hAnsi="標楷體" w:cs="細明體" w:hint="eastAsia"/>
          <w:kern w:val="0"/>
          <w:sz w:val="28"/>
          <w:szCs w:val="28"/>
        </w:rPr>
      </w:pPr>
      <w:r w:rsidRPr="00EE05E2">
        <w:rPr>
          <w:rFonts w:ascii="標楷體" w:eastAsia="標楷體" w:hAnsi="標楷體" w:cs="細明體" w:hint="eastAsia"/>
          <w:kern w:val="0"/>
          <w:sz w:val="28"/>
          <w:szCs w:val="28"/>
        </w:rPr>
        <w:t>一、投資策略、產品特性(包含每日重新平衡、每日複利計算)，及追蹤標的指數之方式(譬如追蹤一般標的指數之正向倍數或反向倍數表現者；直接追蹤槓桿指數或反向指數者)。</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0" w:left="2960" w:hangingChars="200" w:hanging="560"/>
        <w:rPr>
          <w:rFonts w:ascii="標楷體" w:eastAsia="標楷體" w:hAnsi="標楷體" w:cs="細明體" w:hint="eastAsia"/>
          <w:kern w:val="0"/>
          <w:sz w:val="28"/>
          <w:szCs w:val="28"/>
        </w:rPr>
      </w:pPr>
      <w:r w:rsidRPr="00EE05E2">
        <w:rPr>
          <w:rFonts w:ascii="標楷體" w:eastAsia="標楷體" w:hAnsi="標楷體" w:cs="細明體" w:hint="eastAsia"/>
          <w:kern w:val="0"/>
          <w:sz w:val="28"/>
          <w:szCs w:val="28"/>
        </w:rPr>
        <w:t>二、其正向倍數或反向倍數之報酬率，僅限於單日。</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0" w:left="2960" w:hangingChars="200" w:hanging="560"/>
        <w:rPr>
          <w:rFonts w:ascii="標楷體" w:eastAsia="標楷體" w:hAnsi="標楷體" w:cs="細明體" w:hint="eastAsia"/>
          <w:kern w:val="0"/>
          <w:sz w:val="28"/>
          <w:szCs w:val="28"/>
        </w:rPr>
      </w:pPr>
      <w:r w:rsidRPr="00EE05E2">
        <w:rPr>
          <w:rFonts w:ascii="標楷體" w:eastAsia="標楷體" w:hAnsi="標楷體" w:cs="細明體" w:hint="eastAsia"/>
          <w:kern w:val="0"/>
          <w:sz w:val="28"/>
          <w:szCs w:val="28"/>
        </w:rPr>
        <w:t>三、為策略交易型產品，不適合長期持有，僅符合適格條件之投資人始得交易。</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0" w:left="2960" w:hangingChars="200" w:hanging="560"/>
        <w:rPr>
          <w:rFonts w:ascii="標楷體" w:eastAsia="標楷體" w:hAnsi="標楷體" w:cs="細明體" w:hint="eastAsia"/>
          <w:kern w:val="0"/>
          <w:sz w:val="28"/>
          <w:szCs w:val="28"/>
        </w:rPr>
      </w:pPr>
      <w:r w:rsidRPr="00EE05E2">
        <w:rPr>
          <w:rFonts w:ascii="標楷體" w:eastAsia="標楷體" w:hAnsi="標楷體" w:cs="細明體" w:hint="eastAsia"/>
          <w:kern w:val="0"/>
          <w:sz w:val="28"/>
          <w:szCs w:val="28"/>
        </w:rPr>
        <w:t>四、以實際案例說明，每日複利計算下，槓桿型期貨ETF及</w:t>
      </w:r>
      <w:proofErr w:type="gramStart"/>
      <w:r w:rsidRPr="00EE05E2">
        <w:rPr>
          <w:rFonts w:ascii="標楷體" w:eastAsia="標楷體" w:hAnsi="標楷體" w:cs="細明體" w:hint="eastAsia"/>
          <w:kern w:val="0"/>
          <w:sz w:val="28"/>
          <w:szCs w:val="28"/>
        </w:rPr>
        <w:t>反向型</w:t>
      </w:r>
      <w:proofErr w:type="gramEnd"/>
      <w:r w:rsidRPr="00EE05E2">
        <w:rPr>
          <w:rFonts w:ascii="標楷體" w:eastAsia="標楷體" w:hAnsi="標楷體" w:cs="細明體" w:hint="eastAsia"/>
          <w:kern w:val="0"/>
          <w:sz w:val="28"/>
          <w:szCs w:val="28"/>
        </w:rPr>
        <w:t>期貨ETF之長期報酬率會偏離一般標的指數之正向倍數或反向倍數表現；追蹤槓桿指數或反向指數者，亦同。</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0" w:left="2960" w:hangingChars="200" w:hanging="560"/>
        <w:rPr>
          <w:rFonts w:ascii="標楷體" w:eastAsia="標楷體" w:hAnsi="標楷體" w:cs="細明體" w:hint="eastAsia"/>
          <w:kern w:val="0"/>
          <w:sz w:val="28"/>
          <w:szCs w:val="28"/>
        </w:rPr>
      </w:pPr>
      <w:r w:rsidRPr="00EE05E2">
        <w:rPr>
          <w:rFonts w:ascii="標楷體" w:eastAsia="標楷體" w:hAnsi="標楷體" w:cs="細明體" w:hint="eastAsia"/>
          <w:kern w:val="0"/>
          <w:sz w:val="28"/>
          <w:szCs w:val="28"/>
        </w:rPr>
        <w:t>五、投資風險。</w:t>
      </w:r>
    </w:p>
    <w:p w:rsidR="00B52968" w:rsidRPr="00EE05E2" w:rsidRDefault="00B52968" w:rsidP="00B52968">
      <w:pPr>
        <w:pStyle w:val="Layout"/>
        <w:tabs>
          <w:tab w:val="left" w:pos="672"/>
        </w:tabs>
        <w:snapToGrid w:val="0"/>
        <w:ind w:leftChars="1000" w:left="2400"/>
        <w:jc w:val="both"/>
        <w:rPr>
          <w:rFonts w:ascii="標楷體" w:eastAsia="標楷體" w:hAnsi="標楷體" w:hint="eastAsia"/>
          <w:sz w:val="28"/>
          <w:szCs w:val="28"/>
        </w:rPr>
      </w:pPr>
      <w:r w:rsidRPr="00EE05E2">
        <w:rPr>
          <w:rFonts w:ascii="標楷體" w:eastAsia="標楷體" w:hAnsi="標楷體" w:hint="eastAsia"/>
          <w:sz w:val="28"/>
          <w:szCs w:val="28"/>
        </w:rPr>
        <w:t>期貨信託事業應對投資人進行槓桿型期貨ETF及</w:t>
      </w:r>
      <w:proofErr w:type="gramStart"/>
      <w:r w:rsidRPr="00EE05E2">
        <w:rPr>
          <w:rFonts w:ascii="標楷體" w:eastAsia="標楷體" w:hAnsi="標楷體" w:hint="eastAsia"/>
          <w:sz w:val="28"/>
          <w:szCs w:val="28"/>
        </w:rPr>
        <w:t>反向型</w:t>
      </w:r>
      <w:proofErr w:type="gramEnd"/>
      <w:r w:rsidRPr="00EE05E2">
        <w:rPr>
          <w:rFonts w:ascii="標楷體" w:eastAsia="標楷體" w:hAnsi="標楷體" w:hint="eastAsia"/>
          <w:sz w:val="28"/>
          <w:szCs w:val="28"/>
        </w:rPr>
        <w:t>期貨ETF之教育宣導，協助投資人瞭解該等期貨ETF產品之風險及特性，並應於公司網站以圖表方式顯示下列資訊，供投資人參考：</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0" w:left="2960" w:hangingChars="200" w:hanging="560"/>
        <w:rPr>
          <w:rFonts w:ascii="標楷體" w:eastAsia="標楷體" w:hAnsi="標楷體" w:cs="細明體" w:hint="eastAsia"/>
          <w:kern w:val="0"/>
          <w:sz w:val="28"/>
          <w:szCs w:val="28"/>
        </w:rPr>
      </w:pPr>
      <w:r w:rsidRPr="00EE05E2">
        <w:rPr>
          <w:rFonts w:ascii="標楷體" w:eastAsia="標楷體" w:hAnsi="標楷體" w:cs="細明體" w:hint="eastAsia"/>
          <w:kern w:val="0"/>
          <w:sz w:val="28"/>
          <w:szCs w:val="28"/>
        </w:rPr>
        <w:t>一、每日盤中自行計算之槓桿指數及反向指數之變動情形。</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0" w:left="2960" w:hangingChars="200" w:hanging="560"/>
        <w:rPr>
          <w:rFonts w:ascii="標楷體" w:eastAsia="標楷體" w:hAnsi="標楷體" w:cs="細明體" w:hint="eastAsia"/>
          <w:kern w:val="0"/>
          <w:sz w:val="28"/>
          <w:szCs w:val="28"/>
        </w:rPr>
      </w:pPr>
      <w:r w:rsidRPr="00EE05E2">
        <w:rPr>
          <w:rFonts w:ascii="標楷體" w:eastAsia="標楷體" w:hAnsi="標楷體" w:cs="細明體" w:hint="eastAsia"/>
          <w:kern w:val="0"/>
          <w:sz w:val="28"/>
          <w:szCs w:val="28"/>
        </w:rPr>
        <w:lastRenderedPageBreak/>
        <w:t>二、每日收盤後，指數編製公司所編製或期貨信託事業自行計算之槓桿指數及反向指數之歷史走勢圖及數值。</w:t>
      </w:r>
    </w:p>
    <w:p w:rsidR="00B52968" w:rsidRPr="00B449F2" w:rsidRDefault="00B52968" w:rsidP="00B52968">
      <w:pPr>
        <w:pStyle w:val="Layout"/>
        <w:tabs>
          <w:tab w:val="left" w:pos="672"/>
        </w:tabs>
        <w:snapToGrid w:val="0"/>
        <w:ind w:left="-152"/>
        <w:jc w:val="both"/>
        <w:rPr>
          <w:rFonts w:ascii="標楷體" w:eastAsia="標楷體" w:hAnsi="標楷體"/>
          <w:sz w:val="28"/>
          <w:szCs w:val="28"/>
        </w:rPr>
      </w:pPr>
      <w:r w:rsidRPr="00B449F2">
        <w:rPr>
          <w:rFonts w:ascii="標楷體" w:eastAsia="標楷體" w:hAnsi="標楷體" w:hint="eastAsia"/>
          <w:sz w:val="28"/>
          <w:szCs w:val="28"/>
        </w:rPr>
        <w:tab/>
      </w:r>
      <w:r w:rsidRPr="00B449F2">
        <w:rPr>
          <w:rFonts w:ascii="標楷體" w:eastAsia="標楷體" w:hAnsi="標楷體"/>
          <w:sz w:val="28"/>
          <w:szCs w:val="28"/>
        </w:rPr>
        <w:t>第 三 章 受益憑證</w:t>
      </w:r>
    </w:p>
    <w:p w:rsidR="00B52968" w:rsidRPr="00B449F2" w:rsidRDefault="00B52968" w:rsidP="00B52968">
      <w:pPr>
        <w:pStyle w:val="Layout"/>
        <w:snapToGrid w:val="0"/>
        <w:ind w:leftChars="-63" w:left="1686" w:hangingChars="656" w:hanging="1837"/>
        <w:jc w:val="both"/>
        <w:rPr>
          <w:rFonts w:ascii="標楷體" w:eastAsia="標楷體" w:hAnsi="標楷體" w:hint="eastAsia"/>
          <w:sz w:val="28"/>
          <w:szCs w:val="28"/>
        </w:rPr>
      </w:pPr>
      <w:r w:rsidRPr="00B449F2">
        <w:rPr>
          <w:rFonts w:ascii="標楷體" w:eastAsia="標楷體" w:hAnsi="標楷體" w:hint="eastAsia"/>
          <w:sz w:val="28"/>
          <w:szCs w:val="28"/>
        </w:rPr>
        <w:t>第二十二條</w:t>
      </w:r>
      <w:r w:rsidRPr="00B449F2">
        <w:rPr>
          <w:rFonts w:ascii="標楷體" w:eastAsia="標楷體" w:hAnsi="標楷體"/>
          <w:sz w:val="28"/>
          <w:szCs w:val="28"/>
        </w:rPr>
        <w:tab/>
      </w:r>
      <w:r w:rsidRPr="00B449F2">
        <w:rPr>
          <w:rFonts w:ascii="標楷體" w:eastAsia="標楷體" w:hAnsi="標楷體" w:hint="eastAsia"/>
          <w:sz w:val="28"/>
          <w:szCs w:val="28"/>
        </w:rPr>
        <w:t>受益憑證應為記名式。期貨信託基金受益憑證之交付，</w:t>
      </w:r>
      <w:proofErr w:type="gramStart"/>
      <w:r w:rsidRPr="00B449F2">
        <w:rPr>
          <w:rFonts w:ascii="標楷體" w:eastAsia="標楷體" w:hAnsi="標楷體" w:hint="eastAsia"/>
          <w:sz w:val="28"/>
          <w:szCs w:val="28"/>
        </w:rPr>
        <w:t>採</w:t>
      </w:r>
      <w:proofErr w:type="gramEnd"/>
      <w:r w:rsidRPr="00B449F2">
        <w:rPr>
          <w:rFonts w:ascii="標楷體" w:eastAsia="標楷體" w:hAnsi="標楷體" w:hint="eastAsia"/>
          <w:sz w:val="28"/>
          <w:szCs w:val="28"/>
        </w:rPr>
        <w:t>帳簿劃撥方式為之，並不得委由期貨信託基金銷售機構辦理。</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hint="eastAsia"/>
          <w:kern w:val="0"/>
          <w:sz w:val="28"/>
          <w:szCs w:val="28"/>
        </w:rPr>
      </w:pPr>
      <w:r w:rsidRPr="00E236A3">
        <w:rPr>
          <w:rFonts w:ascii="標楷體" w:eastAsia="標楷體" w:hAnsi="標楷體" w:cs="細明體" w:hint="eastAsia"/>
          <w:kern w:val="0"/>
          <w:sz w:val="28"/>
          <w:szCs w:val="28"/>
        </w:rPr>
        <w:t>期貨信託</w:t>
      </w:r>
      <w:r w:rsidRPr="00E236A3">
        <w:rPr>
          <w:rFonts w:ascii="標楷體" w:eastAsia="標楷體" w:hAnsi="標楷體" w:cs="細明體"/>
          <w:kern w:val="0"/>
          <w:sz w:val="28"/>
          <w:szCs w:val="28"/>
        </w:rPr>
        <w:t>基金自首次發行後所受理之申購，</w:t>
      </w:r>
      <w:r w:rsidRPr="00E236A3">
        <w:rPr>
          <w:rFonts w:ascii="標楷體" w:eastAsia="標楷體" w:hAnsi="標楷體" w:cs="細明體" w:hint="eastAsia"/>
          <w:kern w:val="0"/>
          <w:sz w:val="28"/>
          <w:szCs w:val="28"/>
        </w:rPr>
        <w:t>期貨</w:t>
      </w:r>
      <w:r w:rsidRPr="00E236A3">
        <w:rPr>
          <w:rFonts w:ascii="標楷體" w:eastAsia="標楷體" w:hAnsi="標楷體" w:cs="細明體"/>
          <w:kern w:val="0"/>
          <w:sz w:val="28"/>
          <w:szCs w:val="28"/>
        </w:rPr>
        <w:t>信託事業應於基金保管機構收足申購價金之日起，於</w:t>
      </w:r>
      <w:r w:rsidRPr="00E236A3">
        <w:rPr>
          <w:rFonts w:ascii="標楷體" w:eastAsia="標楷體" w:hAnsi="標楷體" w:cs="細明體" w:hint="eastAsia"/>
          <w:kern w:val="0"/>
          <w:sz w:val="28"/>
          <w:szCs w:val="28"/>
        </w:rPr>
        <w:t>三</w:t>
      </w:r>
      <w:r w:rsidRPr="00E236A3">
        <w:rPr>
          <w:rFonts w:ascii="標楷體" w:eastAsia="標楷體" w:hAnsi="標楷體" w:cs="細明體"/>
          <w:kern w:val="0"/>
          <w:sz w:val="28"/>
          <w:szCs w:val="28"/>
        </w:rPr>
        <w:t>個營業日內依規定</w:t>
      </w:r>
      <w:r w:rsidRPr="00E236A3">
        <w:rPr>
          <w:rFonts w:ascii="標楷體" w:eastAsia="標楷體" w:hAnsi="標楷體" w:cs="細明體" w:hint="eastAsia"/>
          <w:kern w:val="0"/>
          <w:sz w:val="28"/>
          <w:szCs w:val="28"/>
        </w:rPr>
        <w:t>以帳簿劃撥方式</w:t>
      </w:r>
      <w:r w:rsidRPr="00E236A3">
        <w:rPr>
          <w:rFonts w:ascii="標楷體" w:eastAsia="標楷體" w:hAnsi="標楷體" w:cs="細明體"/>
          <w:kern w:val="0"/>
          <w:sz w:val="28"/>
          <w:szCs w:val="28"/>
        </w:rPr>
        <w:t>交付受益憑證予申購人。</w:t>
      </w:r>
    </w:p>
    <w:p w:rsidR="00B52968" w:rsidRPr="00B449F2" w:rsidRDefault="00B52968" w:rsidP="00B52968">
      <w:pPr>
        <w:pStyle w:val="Layout"/>
        <w:snapToGrid w:val="0"/>
        <w:ind w:leftChars="-63" w:left="1686" w:hangingChars="656" w:hanging="1837"/>
        <w:jc w:val="both"/>
        <w:rPr>
          <w:rFonts w:ascii="標楷體" w:eastAsia="標楷體" w:hAnsi="標楷體" w:hint="eastAsia"/>
          <w:sz w:val="28"/>
          <w:szCs w:val="28"/>
        </w:rPr>
      </w:pPr>
      <w:r w:rsidRPr="00B449F2">
        <w:rPr>
          <w:rFonts w:ascii="標楷體" w:eastAsia="標楷體" w:hAnsi="標楷體" w:hint="eastAsia"/>
          <w:sz w:val="28"/>
          <w:szCs w:val="28"/>
        </w:rPr>
        <w:t>第二十三條</w:t>
      </w:r>
      <w:r w:rsidRPr="00B449F2">
        <w:rPr>
          <w:rFonts w:ascii="標楷體" w:eastAsia="標楷體" w:hAnsi="標楷體" w:hint="eastAsia"/>
          <w:sz w:val="28"/>
          <w:szCs w:val="28"/>
        </w:rPr>
        <w:tab/>
        <w:t>期貨信託事業應洽證券集中保管事業辦理受益憑證之登錄。</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hint="eastAsia"/>
          <w:kern w:val="0"/>
          <w:sz w:val="28"/>
          <w:szCs w:val="28"/>
        </w:rPr>
      </w:pPr>
      <w:r w:rsidRPr="00E236A3">
        <w:rPr>
          <w:rFonts w:ascii="標楷體" w:eastAsia="標楷體" w:hAnsi="標楷體" w:cs="細明體" w:hint="eastAsia"/>
          <w:kern w:val="0"/>
          <w:sz w:val="28"/>
          <w:szCs w:val="28"/>
        </w:rPr>
        <w:t>受益人向期貨信託事業或其基金銷售機構所為之申購，其受益憑證應約定登載於</w:t>
      </w:r>
      <w:r w:rsidRPr="00E236A3">
        <w:rPr>
          <w:rFonts w:ascii="標楷體" w:eastAsia="標楷體" w:hAnsi="標楷體" w:cs="細明體"/>
          <w:kern w:val="0"/>
          <w:sz w:val="28"/>
          <w:szCs w:val="28"/>
        </w:rPr>
        <w:t>其本人開設於證券經紀商之保管劃撥帳戶或</w:t>
      </w:r>
      <w:r w:rsidRPr="00E236A3">
        <w:rPr>
          <w:rFonts w:ascii="標楷體" w:eastAsia="標楷體" w:hAnsi="標楷體" w:cs="細明體" w:hint="eastAsia"/>
          <w:kern w:val="0"/>
          <w:sz w:val="28"/>
          <w:szCs w:val="28"/>
        </w:rPr>
        <w:t>期貨信託事業開設於證券集中保管事業保管劃撥帳戶下之登錄專戶，並由期貨信託事業製作對</w:t>
      </w:r>
      <w:proofErr w:type="gramStart"/>
      <w:r w:rsidRPr="00E236A3">
        <w:rPr>
          <w:rFonts w:ascii="標楷體" w:eastAsia="標楷體" w:hAnsi="標楷體" w:cs="細明體" w:hint="eastAsia"/>
          <w:kern w:val="0"/>
          <w:sz w:val="28"/>
          <w:szCs w:val="28"/>
        </w:rPr>
        <w:t>帳單</w:t>
      </w:r>
      <w:proofErr w:type="gramEnd"/>
      <w:r w:rsidRPr="00E236A3">
        <w:rPr>
          <w:rFonts w:ascii="標楷體" w:eastAsia="標楷體" w:hAnsi="標楷體" w:cs="細明體" w:hint="eastAsia"/>
          <w:kern w:val="0"/>
          <w:sz w:val="28"/>
          <w:szCs w:val="28"/>
        </w:rPr>
        <w:t>予受益人或設置網站供受益人查詢；受益人並得向期貨信託事業請求製發對</w:t>
      </w:r>
      <w:proofErr w:type="gramStart"/>
      <w:r w:rsidRPr="00E236A3">
        <w:rPr>
          <w:rFonts w:ascii="標楷體" w:eastAsia="標楷體" w:hAnsi="標楷體" w:cs="細明體" w:hint="eastAsia"/>
          <w:kern w:val="0"/>
          <w:sz w:val="28"/>
          <w:szCs w:val="28"/>
        </w:rPr>
        <w:t>帳單</w:t>
      </w:r>
      <w:proofErr w:type="gramEnd"/>
      <w:r w:rsidRPr="00E236A3">
        <w:rPr>
          <w:rFonts w:ascii="標楷體" w:eastAsia="標楷體" w:hAnsi="標楷體" w:cs="細明體" w:hint="eastAsia"/>
          <w:kern w:val="0"/>
          <w:sz w:val="28"/>
          <w:szCs w:val="28"/>
        </w:rPr>
        <w:t>，該事業不得拒絕。</w:t>
      </w:r>
      <w:r w:rsidRPr="00E236A3">
        <w:rPr>
          <w:rFonts w:ascii="標楷體" w:eastAsia="標楷體" w:hAnsi="標楷體" w:cs="細明體"/>
          <w:kern w:val="0"/>
          <w:sz w:val="28"/>
          <w:szCs w:val="28"/>
        </w:rPr>
        <w:t>申購人如係向其往來證券經紀商申購，受益憑證之登載，依證券集中保管事業相關規定辦理。</w:t>
      </w:r>
    </w:p>
    <w:p w:rsidR="00B52968" w:rsidRPr="00B449F2" w:rsidRDefault="00B52968" w:rsidP="00B52968">
      <w:pPr>
        <w:pStyle w:val="Layout"/>
        <w:tabs>
          <w:tab w:val="left" w:pos="672"/>
        </w:tabs>
        <w:snapToGrid w:val="0"/>
        <w:ind w:left="-152"/>
        <w:jc w:val="both"/>
        <w:rPr>
          <w:rFonts w:ascii="標楷體" w:eastAsia="標楷體" w:hAnsi="標楷體"/>
          <w:dstrike/>
          <w:sz w:val="28"/>
          <w:szCs w:val="28"/>
        </w:rPr>
      </w:pPr>
      <w:r w:rsidRPr="00B449F2">
        <w:rPr>
          <w:rFonts w:ascii="標楷體" w:eastAsia="標楷體" w:hAnsi="標楷體" w:hint="eastAsia"/>
          <w:sz w:val="28"/>
          <w:szCs w:val="28"/>
        </w:rPr>
        <w:tab/>
        <w:t>第 四 章 基金之買回</w:t>
      </w:r>
    </w:p>
    <w:p w:rsidR="00B52968" w:rsidRPr="00B449F2" w:rsidRDefault="00B52968" w:rsidP="00B52968">
      <w:pPr>
        <w:pStyle w:val="Layout"/>
        <w:snapToGrid w:val="0"/>
        <w:ind w:leftChars="-63" w:left="1686" w:hangingChars="656" w:hanging="1837"/>
        <w:jc w:val="both"/>
        <w:rPr>
          <w:rFonts w:ascii="標楷體" w:eastAsia="標楷體" w:hAnsi="標楷體" w:hint="eastAsia"/>
          <w:sz w:val="28"/>
          <w:szCs w:val="28"/>
        </w:rPr>
      </w:pPr>
      <w:r w:rsidRPr="00B449F2">
        <w:rPr>
          <w:rFonts w:ascii="標楷體" w:eastAsia="標楷體" w:hAnsi="標楷體" w:hint="eastAsia"/>
          <w:sz w:val="28"/>
          <w:szCs w:val="28"/>
        </w:rPr>
        <w:t>第二十四條   期貨信託基金成立後，受益人得依期貨信託契約約定以書面或其他事先約定之方式，檢具相關申請書件向期貨信託事業或基金銷售機構提出買回請求。</w:t>
      </w:r>
      <w:r w:rsidRPr="00B449F2">
        <w:rPr>
          <w:rFonts w:ascii="標楷體" w:eastAsia="標楷體" w:hAnsi="標楷體"/>
          <w:sz w:val="28"/>
          <w:szCs w:val="28"/>
        </w:rPr>
        <w:t>如其受益憑證餘額係登載於</w:t>
      </w:r>
      <w:r w:rsidRPr="00B449F2">
        <w:rPr>
          <w:rFonts w:ascii="標楷體" w:eastAsia="標楷體" w:hAnsi="標楷體" w:hint="eastAsia"/>
          <w:sz w:val="28"/>
          <w:szCs w:val="28"/>
        </w:rPr>
        <w:t>期貨</w:t>
      </w:r>
      <w:r w:rsidRPr="00B449F2">
        <w:rPr>
          <w:rFonts w:ascii="標楷體" w:eastAsia="標楷體" w:hAnsi="標楷體"/>
          <w:sz w:val="28"/>
          <w:szCs w:val="28"/>
        </w:rPr>
        <w:t>信託事業保管劃撥帳戶下之登錄</w:t>
      </w:r>
      <w:proofErr w:type="gramStart"/>
      <w:r w:rsidRPr="00B449F2">
        <w:rPr>
          <w:rFonts w:ascii="標楷體" w:eastAsia="標楷體" w:hAnsi="標楷體"/>
          <w:sz w:val="28"/>
          <w:szCs w:val="28"/>
        </w:rPr>
        <w:t>專戶者</w:t>
      </w:r>
      <w:proofErr w:type="gramEnd"/>
      <w:r w:rsidRPr="00B449F2">
        <w:rPr>
          <w:rFonts w:ascii="標楷體" w:eastAsia="標楷體" w:hAnsi="標楷體"/>
          <w:sz w:val="28"/>
          <w:szCs w:val="28"/>
        </w:rPr>
        <w:t>，得向</w:t>
      </w:r>
      <w:r w:rsidRPr="00B449F2">
        <w:rPr>
          <w:rFonts w:ascii="標楷體" w:eastAsia="標楷體" w:hAnsi="標楷體" w:hint="eastAsia"/>
          <w:sz w:val="28"/>
          <w:szCs w:val="28"/>
        </w:rPr>
        <w:t>期貨信託事業</w:t>
      </w:r>
      <w:r w:rsidRPr="00B449F2">
        <w:rPr>
          <w:rFonts w:ascii="標楷體" w:eastAsia="標楷體" w:hAnsi="標楷體"/>
          <w:sz w:val="28"/>
          <w:szCs w:val="28"/>
        </w:rPr>
        <w:t>或其指定之基金銷售機構辦理買回；如係登載於受益人本人開設於證券經紀商之保管劃撥帳戶者，應向該證券經紀商辦理之。</w:t>
      </w:r>
    </w:p>
    <w:p w:rsidR="00B52968" w:rsidRPr="00B449F2" w:rsidRDefault="00B52968" w:rsidP="00B52968">
      <w:pPr>
        <w:pStyle w:val="Layout"/>
        <w:snapToGrid w:val="0"/>
        <w:ind w:leftChars="-63" w:left="1686" w:hangingChars="656" w:hanging="1837"/>
        <w:jc w:val="both"/>
        <w:rPr>
          <w:rFonts w:ascii="標楷體" w:eastAsia="標楷體" w:hAnsi="標楷體" w:hint="eastAsia"/>
          <w:sz w:val="28"/>
          <w:szCs w:val="28"/>
        </w:rPr>
      </w:pPr>
      <w:r w:rsidRPr="00B449F2">
        <w:rPr>
          <w:rFonts w:ascii="標楷體" w:eastAsia="標楷體" w:hAnsi="標楷體" w:hint="eastAsia"/>
          <w:sz w:val="28"/>
          <w:szCs w:val="28"/>
        </w:rPr>
        <w:t>第二十五條</w:t>
      </w:r>
      <w:r w:rsidRPr="00B449F2">
        <w:rPr>
          <w:rFonts w:ascii="標楷體" w:eastAsia="標楷體" w:hAnsi="標楷體"/>
          <w:sz w:val="28"/>
          <w:szCs w:val="28"/>
        </w:rPr>
        <w:tab/>
      </w:r>
      <w:r w:rsidRPr="00B449F2">
        <w:rPr>
          <w:rFonts w:ascii="標楷體" w:eastAsia="標楷體" w:hAnsi="標楷體" w:hint="eastAsia"/>
          <w:sz w:val="28"/>
          <w:szCs w:val="28"/>
        </w:rPr>
        <w:t>期貨信託事業及基金銷售機構應依據期貨信託基金公開說明書之記載，公平對待所有請求買回受益憑證者，不得對特定人提供特別優厚之買回條件。</w:t>
      </w:r>
    </w:p>
    <w:p w:rsidR="00B52968" w:rsidRPr="00B449F2" w:rsidRDefault="00B52968" w:rsidP="00B52968">
      <w:pPr>
        <w:pStyle w:val="Layout"/>
        <w:snapToGrid w:val="0"/>
        <w:ind w:leftChars="-63" w:left="1686" w:hangingChars="656" w:hanging="1837"/>
        <w:jc w:val="both"/>
        <w:rPr>
          <w:rFonts w:ascii="標楷體" w:eastAsia="標楷體" w:hAnsi="標楷體" w:hint="eastAsia"/>
          <w:sz w:val="28"/>
          <w:szCs w:val="28"/>
        </w:rPr>
      </w:pPr>
      <w:r w:rsidRPr="00B449F2">
        <w:rPr>
          <w:rFonts w:ascii="標楷體" w:eastAsia="標楷體" w:hAnsi="標楷體" w:hint="eastAsia"/>
          <w:sz w:val="28"/>
          <w:szCs w:val="28"/>
        </w:rPr>
        <w:t>第二十六條</w:t>
      </w:r>
      <w:r w:rsidRPr="00B449F2">
        <w:rPr>
          <w:rFonts w:ascii="標楷體" w:eastAsia="標楷體" w:hAnsi="標楷體"/>
          <w:sz w:val="28"/>
          <w:szCs w:val="28"/>
        </w:rPr>
        <w:tab/>
      </w:r>
      <w:r w:rsidRPr="00B449F2">
        <w:rPr>
          <w:rFonts w:ascii="標楷體" w:eastAsia="標楷體" w:hAnsi="標楷體" w:hint="eastAsia"/>
          <w:sz w:val="28"/>
          <w:szCs w:val="28"/>
        </w:rPr>
        <w:t>期貨信託事業應依不同基金之特性，訂定其受理受益憑證買回申請之截止時間，及基金銷售機構亦應訂定其受理買回申請截止時間，除能證明客戶係於截止時間前提出買回請求者，逾時申請應視為次一營業日之交易。</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hint="eastAsia"/>
          <w:kern w:val="0"/>
          <w:sz w:val="28"/>
          <w:szCs w:val="28"/>
        </w:rPr>
      </w:pPr>
      <w:r w:rsidRPr="00E236A3">
        <w:rPr>
          <w:rFonts w:ascii="標楷體" w:eastAsia="標楷體" w:hAnsi="標楷體" w:cs="細明體" w:hint="eastAsia"/>
          <w:kern w:val="0"/>
          <w:sz w:val="28"/>
          <w:szCs w:val="28"/>
        </w:rPr>
        <w:t>前項受理買回申請之截止時間，期貨信託事業及基金銷售機構應確實嚴格執行，並應將該資訊載明於基金公開說明書、相關銷售文件及公司網站。</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hint="eastAsia"/>
          <w:kern w:val="0"/>
          <w:sz w:val="28"/>
          <w:szCs w:val="28"/>
        </w:rPr>
      </w:pPr>
      <w:r w:rsidRPr="00E236A3">
        <w:rPr>
          <w:rFonts w:ascii="標楷體" w:eastAsia="標楷體" w:hAnsi="標楷體" w:cs="細明體" w:hint="eastAsia"/>
          <w:kern w:val="0"/>
          <w:sz w:val="28"/>
          <w:szCs w:val="28"/>
        </w:rPr>
        <w:t>期貨信託事業與其委任之基金銷售機構所簽訂之銷售契約，應</w:t>
      </w:r>
      <w:proofErr w:type="gramStart"/>
      <w:r w:rsidRPr="00E236A3">
        <w:rPr>
          <w:rFonts w:ascii="標楷體" w:eastAsia="標楷體" w:hAnsi="標楷體" w:cs="細明體" w:hint="eastAsia"/>
          <w:kern w:val="0"/>
          <w:sz w:val="28"/>
          <w:szCs w:val="28"/>
        </w:rPr>
        <w:t>載明每營業</w:t>
      </w:r>
      <w:proofErr w:type="gramEnd"/>
      <w:r w:rsidRPr="00E236A3">
        <w:rPr>
          <w:rFonts w:ascii="標楷體" w:eastAsia="標楷體" w:hAnsi="標楷體" w:cs="細明體" w:hint="eastAsia"/>
          <w:kern w:val="0"/>
          <w:sz w:val="28"/>
          <w:szCs w:val="28"/>
        </w:rPr>
        <w:t>日受理買回申請之截止時間及對逾時申請之認定及其處理方式，以及雙方之義務、責任及權責歸屬。</w:t>
      </w:r>
    </w:p>
    <w:p w:rsidR="00B52968" w:rsidRPr="00B449F2" w:rsidRDefault="00B52968" w:rsidP="00B52968">
      <w:pPr>
        <w:pStyle w:val="Layout"/>
        <w:snapToGrid w:val="0"/>
        <w:ind w:leftChars="-63" w:left="1686" w:hangingChars="656" w:hanging="1837"/>
        <w:jc w:val="both"/>
        <w:rPr>
          <w:rFonts w:ascii="標楷體" w:eastAsia="標楷體" w:hAnsi="標楷體" w:hint="eastAsia"/>
          <w:sz w:val="28"/>
          <w:szCs w:val="28"/>
        </w:rPr>
      </w:pPr>
      <w:r w:rsidRPr="00B449F2">
        <w:rPr>
          <w:rFonts w:ascii="標楷體" w:eastAsia="標楷體" w:hAnsi="標楷體" w:hint="eastAsia"/>
          <w:sz w:val="28"/>
          <w:szCs w:val="28"/>
        </w:rPr>
        <w:lastRenderedPageBreak/>
        <w:t>第二十七條</w:t>
      </w:r>
      <w:r w:rsidRPr="00B449F2">
        <w:rPr>
          <w:rFonts w:ascii="標楷體" w:eastAsia="標楷體" w:hAnsi="標楷體"/>
          <w:sz w:val="28"/>
          <w:szCs w:val="28"/>
        </w:rPr>
        <w:tab/>
      </w:r>
      <w:r w:rsidRPr="00B449F2">
        <w:rPr>
          <w:rFonts w:ascii="標楷體" w:eastAsia="標楷體" w:hAnsi="標楷體" w:hint="eastAsia"/>
          <w:sz w:val="28"/>
          <w:szCs w:val="28"/>
        </w:rPr>
        <w:t>期貨信託事業及基金銷售機構應建立可於受益人請求買回受益憑證之申請書件上明確註記其受理申請之日期及時間之機制，惟客戶如非以書面而是係以其他約定方式提出申請者，期貨信託事業及基金銷售機構之相關作業系統須具有明確記載上開訊息之功能，並保留稽核軌跡，備供查核。</w:t>
      </w:r>
    </w:p>
    <w:p w:rsidR="00B52968" w:rsidRPr="00B449F2" w:rsidRDefault="00B52968" w:rsidP="00B52968">
      <w:pPr>
        <w:pStyle w:val="Layout"/>
        <w:snapToGrid w:val="0"/>
        <w:ind w:leftChars="-63" w:left="1686" w:hangingChars="656" w:hanging="1837"/>
        <w:jc w:val="both"/>
        <w:rPr>
          <w:rFonts w:ascii="標楷體" w:eastAsia="標楷體" w:hAnsi="標楷體" w:hint="eastAsia"/>
          <w:sz w:val="28"/>
          <w:szCs w:val="28"/>
        </w:rPr>
      </w:pPr>
      <w:r w:rsidRPr="00B449F2">
        <w:rPr>
          <w:rFonts w:ascii="標楷體" w:eastAsia="標楷體" w:hAnsi="標楷體" w:hint="eastAsia"/>
          <w:sz w:val="28"/>
          <w:szCs w:val="28"/>
        </w:rPr>
        <w:t>第二十八條</w:t>
      </w:r>
      <w:r w:rsidRPr="00B449F2">
        <w:rPr>
          <w:rFonts w:ascii="標楷體" w:eastAsia="標楷體" w:hAnsi="標楷體"/>
          <w:sz w:val="28"/>
          <w:szCs w:val="28"/>
        </w:rPr>
        <w:tab/>
      </w:r>
      <w:r w:rsidRPr="00B449F2">
        <w:rPr>
          <w:rFonts w:ascii="標楷體" w:eastAsia="標楷體" w:hAnsi="標楷體" w:hint="eastAsia"/>
          <w:sz w:val="28"/>
          <w:szCs w:val="28"/>
        </w:rPr>
        <w:t>期貨信託基金受益憑證買回價格，應以受益人之買回請求到達期貨信託事業或基金銷售機構之次一營業日之期貨信託基金淨資產價值計算之並扣除買回費用。但應給付受益人之買回價金，超過期貨信託基金管理辦法規定應保持之最低流動資產比率者，其買回價格之核算，得另以期貨信託契約訂定之。</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hint="eastAsia"/>
          <w:kern w:val="0"/>
          <w:sz w:val="28"/>
          <w:szCs w:val="28"/>
        </w:rPr>
      </w:pPr>
      <w:r w:rsidRPr="00E236A3">
        <w:rPr>
          <w:rFonts w:ascii="標楷體" w:eastAsia="標楷體" w:hAnsi="標楷體" w:cs="細明體"/>
          <w:kern w:val="0"/>
          <w:sz w:val="28"/>
          <w:szCs w:val="28"/>
        </w:rPr>
        <w:t>指數股票型</w:t>
      </w:r>
      <w:r w:rsidRPr="00E236A3">
        <w:rPr>
          <w:rFonts w:ascii="標楷體" w:eastAsia="標楷體" w:hAnsi="標楷體" w:cs="細明體" w:hint="eastAsia"/>
          <w:kern w:val="0"/>
          <w:sz w:val="28"/>
          <w:szCs w:val="28"/>
        </w:rPr>
        <w:t>期貨信託</w:t>
      </w:r>
      <w:r w:rsidRPr="00E236A3">
        <w:rPr>
          <w:rFonts w:ascii="標楷體" w:eastAsia="標楷體" w:hAnsi="標楷體" w:cs="細明體"/>
          <w:kern w:val="0"/>
          <w:sz w:val="28"/>
          <w:szCs w:val="28"/>
        </w:rPr>
        <w:t>基金</w:t>
      </w:r>
      <w:r w:rsidRPr="00E236A3">
        <w:rPr>
          <w:rFonts w:ascii="標楷體" w:eastAsia="標楷體" w:hAnsi="標楷體" w:cs="細明體" w:hint="eastAsia"/>
          <w:kern w:val="0"/>
          <w:sz w:val="28"/>
          <w:szCs w:val="28"/>
        </w:rPr>
        <w:t>之買回程序，得依期貨信託契約之</w:t>
      </w:r>
      <w:proofErr w:type="gramStart"/>
      <w:r w:rsidRPr="00E236A3">
        <w:rPr>
          <w:rFonts w:ascii="標楷體" w:eastAsia="標楷體" w:hAnsi="標楷體" w:cs="細明體" w:hint="eastAsia"/>
          <w:kern w:val="0"/>
          <w:sz w:val="28"/>
          <w:szCs w:val="28"/>
        </w:rPr>
        <w:t>規</w:t>
      </w:r>
      <w:proofErr w:type="gramEnd"/>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hint="eastAsia"/>
          <w:kern w:val="0"/>
          <w:sz w:val="28"/>
          <w:szCs w:val="28"/>
        </w:rPr>
      </w:pPr>
      <w:r w:rsidRPr="00E236A3">
        <w:rPr>
          <w:rFonts w:ascii="標楷體" w:eastAsia="標楷體" w:hAnsi="標楷體" w:cs="細明體" w:hint="eastAsia"/>
          <w:kern w:val="0"/>
          <w:sz w:val="28"/>
          <w:szCs w:val="28"/>
        </w:rPr>
        <w:t>定辦理，不受前項規定限制。</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hint="eastAsia"/>
          <w:kern w:val="0"/>
          <w:sz w:val="28"/>
          <w:szCs w:val="28"/>
        </w:rPr>
      </w:pPr>
      <w:r w:rsidRPr="00E236A3">
        <w:rPr>
          <w:rFonts w:ascii="標楷體" w:eastAsia="標楷體" w:hAnsi="標楷體" w:cs="細明體" w:hint="eastAsia"/>
          <w:kern w:val="0"/>
          <w:sz w:val="28"/>
          <w:szCs w:val="28"/>
        </w:rPr>
        <w:t>期貨信託事業給付受益人買回價金時，對於符合公開說明書所定從事基金短線交易認定標準之受益人，應扣除該筆交易核算之買回價金一定比例之買回費用，該買回費用並應歸入基金資產。期貨信託事業並得拒絕該受益人之新增申購。</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hint="eastAsia"/>
          <w:kern w:val="0"/>
          <w:sz w:val="28"/>
          <w:szCs w:val="28"/>
        </w:rPr>
      </w:pPr>
      <w:r w:rsidRPr="00E236A3">
        <w:rPr>
          <w:rFonts w:ascii="標楷體" w:eastAsia="標楷體" w:hAnsi="標楷體" w:cs="細明體" w:hint="eastAsia"/>
          <w:kern w:val="0"/>
          <w:sz w:val="28"/>
          <w:szCs w:val="28"/>
        </w:rPr>
        <w:t>基金銷售機構以自己名義為客戶申購基金者，其對所屬基金客戶從事基金交易符合公開說明書短線交易認定標準者，</w:t>
      </w:r>
      <w:proofErr w:type="gramStart"/>
      <w:r w:rsidRPr="00E236A3">
        <w:rPr>
          <w:rFonts w:ascii="標楷體" w:eastAsia="標楷體" w:hAnsi="標楷體" w:cs="細明體" w:hint="eastAsia"/>
          <w:kern w:val="0"/>
          <w:sz w:val="28"/>
          <w:szCs w:val="28"/>
        </w:rPr>
        <w:t>應依金管</w:t>
      </w:r>
      <w:proofErr w:type="gramEnd"/>
      <w:r w:rsidRPr="00E236A3">
        <w:rPr>
          <w:rFonts w:ascii="標楷體" w:eastAsia="標楷體" w:hAnsi="標楷體" w:cs="細明體" w:hint="eastAsia"/>
          <w:kern w:val="0"/>
          <w:sz w:val="28"/>
          <w:szCs w:val="28"/>
        </w:rPr>
        <w:t>會所規定之格式，提供該客戶相關資料</w:t>
      </w:r>
      <w:proofErr w:type="gramStart"/>
      <w:r w:rsidRPr="00E236A3">
        <w:rPr>
          <w:rFonts w:ascii="標楷體" w:eastAsia="標楷體" w:hAnsi="標楷體" w:cs="細明體" w:hint="eastAsia"/>
          <w:kern w:val="0"/>
          <w:sz w:val="28"/>
          <w:szCs w:val="28"/>
        </w:rPr>
        <w:t>予期</w:t>
      </w:r>
      <w:proofErr w:type="gramEnd"/>
      <w:r w:rsidRPr="00E236A3">
        <w:rPr>
          <w:rFonts w:ascii="標楷體" w:eastAsia="標楷體" w:hAnsi="標楷體" w:cs="細明體" w:hint="eastAsia"/>
          <w:kern w:val="0"/>
          <w:sz w:val="28"/>
          <w:szCs w:val="28"/>
        </w:rPr>
        <w:t>貨信託事業，期貨信託事業並得要求基金銷售機構拒絕該客戶之新增申購。</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hint="eastAsia"/>
          <w:kern w:val="0"/>
          <w:sz w:val="28"/>
          <w:szCs w:val="28"/>
        </w:rPr>
      </w:pPr>
      <w:r w:rsidRPr="00E236A3">
        <w:rPr>
          <w:rFonts w:ascii="標楷體" w:eastAsia="標楷體" w:hAnsi="標楷體" w:cs="細明體" w:hint="eastAsia"/>
          <w:kern w:val="0"/>
          <w:sz w:val="28"/>
          <w:szCs w:val="28"/>
        </w:rPr>
        <w:t>期貨信託事業對基金銷售機構依前項規定所提供之資料應保守秘密，如有違反，因而造成基金銷售機構或其所屬基金客戶之損害時，應負賠償責任。</w:t>
      </w:r>
    </w:p>
    <w:p w:rsidR="00B52968"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hint="eastAsia"/>
          <w:kern w:val="0"/>
          <w:sz w:val="28"/>
          <w:szCs w:val="28"/>
        </w:rPr>
      </w:pPr>
      <w:r w:rsidRPr="00E236A3">
        <w:rPr>
          <w:rFonts w:ascii="標楷體" w:eastAsia="標楷體" w:hAnsi="標楷體" w:cs="細明體" w:hint="eastAsia"/>
          <w:kern w:val="0"/>
          <w:sz w:val="28"/>
          <w:szCs w:val="28"/>
        </w:rPr>
        <w:t>第三項基金短線交易之認定標準及其買回費用收取之最高比例規定，期貨信託事業應依所經理之各期貨信託基金之特性及大多數客戶權益之考量，明訂於基金公開說明書中，同時揭露其有關資訊並載明不歡迎客戶進行短線交易等類似文字，惟短線交易之認定標準係指申購與申請買回時間少於7日（含），但按事先約定之電腦自動交易投資、定時定額投資、同一基金間轉換及</w:t>
      </w:r>
      <w:r w:rsidRPr="00E236A3">
        <w:rPr>
          <w:rFonts w:ascii="標楷體" w:eastAsia="標楷體" w:hAnsi="標楷體" w:cs="細明體"/>
          <w:kern w:val="0"/>
          <w:sz w:val="28"/>
          <w:szCs w:val="28"/>
        </w:rPr>
        <w:t>指數股票型</w:t>
      </w:r>
      <w:r w:rsidRPr="00E236A3">
        <w:rPr>
          <w:rFonts w:ascii="標楷體" w:eastAsia="標楷體" w:hAnsi="標楷體" w:cs="細明體" w:hint="eastAsia"/>
          <w:kern w:val="0"/>
          <w:sz w:val="28"/>
          <w:szCs w:val="28"/>
        </w:rPr>
        <w:t>期貨信託</w:t>
      </w:r>
      <w:r w:rsidRPr="00E236A3">
        <w:rPr>
          <w:rFonts w:ascii="標楷體" w:eastAsia="標楷體" w:hAnsi="標楷體" w:cs="細明體"/>
          <w:kern w:val="0"/>
          <w:sz w:val="28"/>
          <w:szCs w:val="28"/>
        </w:rPr>
        <w:t>基金等得不適用短線交易認定標準</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hint="eastAsia"/>
          <w:kern w:val="0"/>
          <w:sz w:val="28"/>
          <w:szCs w:val="28"/>
        </w:rPr>
      </w:pPr>
      <w:r w:rsidRPr="00E236A3">
        <w:rPr>
          <w:rFonts w:ascii="標楷體" w:eastAsia="標楷體" w:hAnsi="標楷體" w:cs="細明體"/>
          <w:kern w:val="0"/>
          <w:sz w:val="28"/>
          <w:szCs w:val="28"/>
        </w:rPr>
        <w:t>。</w:t>
      </w:r>
    </w:p>
    <w:p w:rsidR="00B52968" w:rsidRPr="00B449F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hint="eastAsia"/>
          <w:sz w:val="28"/>
          <w:szCs w:val="28"/>
        </w:rPr>
      </w:pPr>
      <w:r w:rsidRPr="00E236A3">
        <w:rPr>
          <w:rFonts w:ascii="標楷體" w:eastAsia="標楷體" w:hAnsi="標楷體" w:cs="細明體" w:hint="eastAsia"/>
          <w:kern w:val="0"/>
          <w:sz w:val="28"/>
          <w:szCs w:val="28"/>
        </w:rPr>
        <w:t>除法令另有規定外，基金銷售機構得就每件買回申請向申請人酌收合理之買回手續費，用以支付處理買回事</w:t>
      </w:r>
      <w:r w:rsidRPr="00B449F2">
        <w:rPr>
          <w:rFonts w:ascii="標楷體" w:eastAsia="標楷體" w:hAnsi="標楷體" w:hint="eastAsia"/>
          <w:sz w:val="28"/>
          <w:szCs w:val="28"/>
        </w:rPr>
        <w:t>務之費用，其收費標準應於基金公開說明書中予以揭露。</w:t>
      </w:r>
    </w:p>
    <w:p w:rsidR="00B52968" w:rsidRPr="00B449F2" w:rsidRDefault="00B52968" w:rsidP="00B52968">
      <w:pPr>
        <w:pStyle w:val="Layout"/>
        <w:snapToGrid w:val="0"/>
        <w:ind w:leftChars="-63" w:left="1686" w:hangingChars="656" w:hanging="1837"/>
        <w:jc w:val="both"/>
        <w:rPr>
          <w:rFonts w:ascii="標楷體" w:eastAsia="標楷體" w:hAnsi="標楷體" w:hint="eastAsia"/>
          <w:sz w:val="28"/>
          <w:szCs w:val="28"/>
        </w:rPr>
      </w:pPr>
      <w:r w:rsidRPr="00B449F2">
        <w:rPr>
          <w:rFonts w:ascii="標楷體" w:eastAsia="標楷體" w:hAnsi="標楷體" w:hint="eastAsia"/>
          <w:sz w:val="28"/>
          <w:szCs w:val="28"/>
        </w:rPr>
        <w:t>第二十九條</w:t>
      </w:r>
      <w:r w:rsidRPr="00B449F2">
        <w:rPr>
          <w:rFonts w:ascii="標楷體" w:eastAsia="標楷體" w:hAnsi="標楷體"/>
          <w:sz w:val="28"/>
          <w:szCs w:val="28"/>
        </w:rPr>
        <w:tab/>
      </w:r>
      <w:r w:rsidRPr="00B449F2">
        <w:rPr>
          <w:rFonts w:ascii="標楷體" w:eastAsia="標楷體" w:hAnsi="標楷體" w:hint="eastAsia"/>
          <w:sz w:val="28"/>
          <w:szCs w:val="28"/>
        </w:rPr>
        <w:t>期貨信託事業對不特定人募集投資國內之期貨信託基金，應自受益人買回受益憑證請求到達之次一營業日起五個營業日內，指示基金保管機構以買回人為受款人之記名劃線禁止背書轉讓</w:t>
      </w:r>
      <w:r w:rsidRPr="00B449F2">
        <w:rPr>
          <w:rFonts w:ascii="標楷體" w:eastAsia="標楷體" w:hAnsi="標楷體" w:hint="eastAsia"/>
          <w:sz w:val="28"/>
          <w:szCs w:val="28"/>
        </w:rPr>
        <w:lastRenderedPageBreak/>
        <w:t>票據或匯款方式給付買回價金，但有從事期貨信託基金管理辦法第三十八條第一項第二款交易者，得自受益人之買回受益憑證請求到達之次二營業日起五個營業日內，給付買回價金。</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hint="eastAsia"/>
          <w:kern w:val="0"/>
          <w:sz w:val="28"/>
          <w:szCs w:val="28"/>
        </w:rPr>
      </w:pPr>
      <w:r w:rsidRPr="00E236A3">
        <w:rPr>
          <w:rFonts w:ascii="標楷體" w:eastAsia="標楷體" w:hAnsi="標楷體" w:cs="細明體" w:hint="eastAsia"/>
          <w:kern w:val="0"/>
          <w:sz w:val="28"/>
          <w:szCs w:val="28"/>
        </w:rPr>
        <w:t>受益人請求買回部分受益憑證，期貨信託事業除依前項規定之期限給付買回</w:t>
      </w:r>
      <w:proofErr w:type="gramStart"/>
      <w:r w:rsidRPr="00E236A3">
        <w:rPr>
          <w:rFonts w:ascii="標楷體" w:eastAsia="標楷體" w:hAnsi="標楷體" w:cs="細明體" w:hint="eastAsia"/>
          <w:kern w:val="0"/>
          <w:sz w:val="28"/>
          <w:szCs w:val="28"/>
        </w:rPr>
        <w:t>價金外</w:t>
      </w:r>
      <w:proofErr w:type="gramEnd"/>
      <w:r w:rsidRPr="00E236A3">
        <w:rPr>
          <w:rFonts w:ascii="標楷體" w:eastAsia="標楷體" w:hAnsi="標楷體" w:cs="細明體" w:hint="eastAsia"/>
          <w:kern w:val="0"/>
          <w:sz w:val="28"/>
          <w:szCs w:val="28"/>
        </w:rPr>
        <w:t>，並應於受益人買回受益憑證之請求到達之次二營業日起七個營業日內，辦理登錄及帳簿劃撥之作業。</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hint="eastAsia"/>
          <w:kern w:val="0"/>
          <w:sz w:val="28"/>
          <w:szCs w:val="28"/>
        </w:rPr>
      </w:pPr>
      <w:r w:rsidRPr="00E236A3">
        <w:rPr>
          <w:rFonts w:ascii="標楷體" w:eastAsia="標楷體" w:hAnsi="標楷體" w:cs="細明體" w:hint="eastAsia"/>
          <w:kern w:val="0"/>
          <w:sz w:val="28"/>
          <w:szCs w:val="28"/>
        </w:rPr>
        <w:t>期貨信託事業對不特定人募集之</w:t>
      </w:r>
      <w:r w:rsidRPr="00E236A3">
        <w:rPr>
          <w:rFonts w:ascii="標楷體" w:eastAsia="標楷體" w:hAnsi="標楷體" w:cs="細明體"/>
          <w:kern w:val="0"/>
          <w:sz w:val="28"/>
          <w:szCs w:val="28"/>
        </w:rPr>
        <w:t>指數股票型</w:t>
      </w:r>
      <w:r w:rsidRPr="00E236A3">
        <w:rPr>
          <w:rFonts w:ascii="標楷體" w:eastAsia="標楷體" w:hAnsi="標楷體" w:cs="細明體" w:hint="eastAsia"/>
          <w:kern w:val="0"/>
          <w:sz w:val="28"/>
          <w:szCs w:val="28"/>
        </w:rPr>
        <w:t>期貨信託基金，受益人請求買回受益憑證，其買回價金之給付依期貨信託契約之規定辦理。</w:t>
      </w:r>
    </w:p>
    <w:p w:rsidR="00B52968" w:rsidRPr="00B449F2" w:rsidRDefault="00B52968" w:rsidP="00B52968">
      <w:pPr>
        <w:pStyle w:val="Layout"/>
        <w:snapToGrid w:val="0"/>
        <w:ind w:leftChars="-63" w:left="1686" w:hangingChars="656" w:hanging="1837"/>
        <w:jc w:val="both"/>
        <w:rPr>
          <w:rFonts w:ascii="標楷體" w:eastAsia="標楷體" w:hAnsi="標楷體" w:hint="eastAsia"/>
          <w:sz w:val="28"/>
          <w:szCs w:val="28"/>
        </w:rPr>
      </w:pPr>
      <w:r w:rsidRPr="00B449F2">
        <w:rPr>
          <w:rFonts w:ascii="標楷體" w:eastAsia="標楷體" w:hAnsi="標楷體" w:hint="eastAsia"/>
          <w:sz w:val="28"/>
          <w:szCs w:val="28"/>
        </w:rPr>
        <w:t>第三十條</w:t>
      </w:r>
      <w:r w:rsidRPr="00B449F2">
        <w:rPr>
          <w:rFonts w:ascii="標楷體" w:eastAsia="標楷體" w:hAnsi="標楷體"/>
          <w:sz w:val="28"/>
          <w:szCs w:val="28"/>
        </w:rPr>
        <w:tab/>
      </w:r>
      <w:r w:rsidRPr="00B449F2">
        <w:rPr>
          <w:rFonts w:ascii="標楷體" w:eastAsia="標楷體" w:hAnsi="標楷體" w:hint="eastAsia"/>
          <w:sz w:val="28"/>
          <w:szCs w:val="28"/>
        </w:rPr>
        <w:t>期貨信託事業對受益人依期貨信託契約買回受益憑證之請求不得拒絕，對買回價金之給付不得遲延。但有下列情事之一，並經</w:t>
      </w:r>
      <w:r w:rsidRPr="00E236A3">
        <w:rPr>
          <w:rFonts w:ascii="標楷體" w:eastAsia="標楷體" w:hAnsi="標楷體" w:hint="eastAsia"/>
          <w:sz w:val="28"/>
          <w:szCs w:val="28"/>
        </w:rPr>
        <w:t>金管會</w:t>
      </w:r>
      <w:r w:rsidRPr="00B449F2">
        <w:rPr>
          <w:rFonts w:ascii="標楷體" w:eastAsia="標楷體" w:hAnsi="標楷體" w:hint="eastAsia"/>
          <w:sz w:val="28"/>
          <w:szCs w:val="28"/>
        </w:rPr>
        <w:t>核准者，不在此限：</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2240" w:hangingChars="200" w:hanging="560"/>
        <w:rPr>
          <w:rFonts w:ascii="標楷體" w:eastAsia="標楷體" w:hAnsi="標楷體" w:cs="細明體" w:hint="eastAsia"/>
          <w:kern w:val="0"/>
          <w:sz w:val="28"/>
          <w:szCs w:val="28"/>
        </w:rPr>
      </w:pPr>
      <w:r w:rsidRPr="00E236A3">
        <w:rPr>
          <w:rFonts w:ascii="標楷體" w:eastAsia="標楷體" w:hAnsi="標楷體" w:cs="細明體" w:hint="eastAsia"/>
          <w:kern w:val="0"/>
          <w:sz w:val="28"/>
          <w:szCs w:val="28"/>
        </w:rPr>
        <w:t>一、期貨交易所、證券交易所、證券櫃檯買賣中心、外匯市場或其他相關市場非因例假日而停止交易。</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2240" w:hangingChars="200" w:hanging="560"/>
        <w:rPr>
          <w:rFonts w:ascii="標楷體" w:eastAsia="標楷體" w:hAnsi="標楷體" w:cs="細明體" w:hint="eastAsia"/>
          <w:kern w:val="0"/>
          <w:sz w:val="28"/>
          <w:szCs w:val="28"/>
        </w:rPr>
      </w:pPr>
      <w:r w:rsidRPr="00E236A3">
        <w:rPr>
          <w:rFonts w:ascii="標楷體" w:eastAsia="標楷體" w:hAnsi="標楷體" w:cs="細明體" w:hint="eastAsia"/>
          <w:kern w:val="0"/>
          <w:sz w:val="28"/>
          <w:szCs w:val="28"/>
        </w:rPr>
        <w:t>二、通常使用之通信中斷。</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2240" w:hangingChars="200" w:hanging="560"/>
        <w:rPr>
          <w:rFonts w:ascii="標楷體" w:eastAsia="標楷體" w:hAnsi="標楷體" w:cs="細明體" w:hint="eastAsia"/>
          <w:kern w:val="0"/>
          <w:sz w:val="28"/>
          <w:szCs w:val="28"/>
        </w:rPr>
      </w:pPr>
      <w:r w:rsidRPr="00E236A3">
        <w:rPr>
          <w:rFonts w:ascii="標楷體" w:eastAsia="標楷體" w:hAnsi="標楷體" w:cs="細明體" w:hint="eastAsia"/>
          <w:kern w:val="0"/>
          <w:sz w:val="28"/>
          <w:szCs w:val="28"/>
        </w:rPr>
        <w:t>三、因匯兌交易受限制。</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2240" w:hangingChars="200" w:hanging="560"/>
        <w:rPr>
          <w:rFonts w:ascii="標楷體" w:eastAsia="標楷體" w:hAnsi="標楷體" w:cs="細明體" w:hint="eastAsia"/>
          <w:kern w:val="0"/>
          <w:sz w:val="28"/>
          <w:szCs w:val="28"/>
        </w:rPr>
      </w:pPr>
      <w:r w:rsidRPr="00E236A3">
        <w:rPr>
          <w:rFonts w:ascii="標楷體" w:eastAsia="標楷體" w:hAnsi="標楷體" w:cs="細明體" w:hint="eastAsia"/>
          <w:kern w:val="0"/>
          <w:sz w:val="28"/>
          <w:szCs w:val="28"/>
        </w:rPr>
        <w:t>四、有無從收受買回請求或給付買回價金之其他特殊情事。</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hint="eastAsia"/>
          <w:kern w:val="0"/>
          <w:sz w:val="28"/>
          <w:szCs w:val="28"/>
        </w:rPr>
      </w:pPr>
      <w:r w:rsidRPr="00E236A3">
        <w:rPr>
          <w:rFonts w:ascii="標楷體" w:eastAsia="標楷體" w:hAnsi="標楷體" w:cs="細明體"/>
          <w:kern w:val="0"/>
          <w:sz w:val="28"/>
          <w:szCs w:val="28"/>
        </w:rPr>
        <w:t>指數股票型</w:t>
      </w:r>
      <w:r w:rsidRPr="00E236A3">
        <w:rPr>
          <w:rFonts w:ascii="標楷體" w:eastAsia="標楷體" w:hAnsi="標楷體" w:cs="細明體" w:hint="eastAsia"/>
          <w:kern w:val="0"/>
          <w:sz w:val="28"/>
          <w:szCs w:val="28"/>
        </w:rPr>
        <w:t>期貨信託</w:t>
      </w:r>
      <w:r w:rsidRPr="00E236A3">
        <w:rPr>
          <w:rFonts w:ascii="標楷體" w:eastAsia="標楷體" w:hAnsi="標楷體" w:cs="細明體"/>
          <w:kern w:val="0"/>
          <w:sz w:val="28"/>
          <w:szCs w:val="28"/>
        </w:rPr>
        <w:t>基金</w:t>
      </w:r>
      <w:r w:rsidRPr="00E236A3">
        <w:rPr>
          <w:rFonts w:ascii="標楷體" w:eastAsia="標楷體" w:hAnsi="標楷體" w:cs="細明體" w:hint="eastAsia"/>
          <w:kern w:val="0"/>
          <w:sz w:val="28"/>
          <w:szCs w:val="28"/>
        </w:rPr>
        <w:t>之買回程序，得依期貨信託契約之</w:t>
      </w:r>
      <w:proofErr w:type="gramStart"/>
      <w:r w:rsidRPr="00E236A3">
        <w:rPr>
          <w:rFonts w:ascii="標楷體" w:eastAsia="標楷體" w:hAnsi="標楷體" w:cs="細明體" w:hint="eastAsia"/>
          <w:kern w:val="0"/>
          <w:sz w:val="28"/>
          <w:szCs w:val="28"/>
        </w:rPr>
        <w:t>規</w:t>
      </w:r>
      <w:proofErr w:type="gramEnd"/>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hint="eastAsia"/>
          <w:kern w:val="0"/>
          <w:sz w:val="28"/>
          <w:szCs w:val="28"/>
        </w:rPr>
      </w:pPr>
      <w:r w:rsidRPr="00E236A3">
        <w:rPr>
          <w:rFonts w:ascii="標楷體" w:eastAsia="標楷體" w:hAnsi="標楷體" w:cs="細明體" w:hint="eastAsia"/>
          <w:kern w:val="0"/>
          <w:sz w:val="28"/>
          <w:szCs w:val="28"/>
        </w:rPr>
        <w:t>定辦理，不受前項規定限制。</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hint="eastAsia"/>
          <w:kern w:val="0"/>
          <w:sz w:val="28"/>
          <w:szCs w:val="28"/>
        </w:rPr>
      </w:pPr>
      <w:r w:rsidRPr="00E236A3">
        <w:rPr>
          <w:rFonts w:ascii="標楷體" w:eastAsia="標楷體" w:hAnsi="標楷體" w:cs="細明體"/>
          <w:kern w:val="0"/>
          <w:sz w:val="28"/>
          <w:szCs w:val="28"/>
        </w:rPr>
        <w:t>對符合一定資格條件之人募集之期貨信託基金，其買回程序及</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hint="eastAsia"/>
          <w:kern w:val="0"/>
          <w:sz w:val="28"/>
          <w:szCs w:val="28"/>
        </w:rPr>
      </w:pPr>
      <w:r w:rsidRPr="00E236A3">
        <w:rPr>
          <w:rFonts w:ascii="標楷體" w:eastAsia="標楷體" w:hAnsi="標楷體" w:cs="細明體"/>
          <w:kern w:val="0"/>
          <w:sz w:val="28"/>
          <w:szCs w:val="28"/>
        </w:rPr>
        <w:t>買回價金之給付期限，依期貨信託契約之規定辦理</w:t>
      </w:r>
      <w:r w:rsidRPr="00E236A3">
        <w:rPr>
          <w:rFonts w:ascii="標楷體" w:eastAsia="標楷體" w:hAnsi="標楷體" w:cs="細明體" w:hint="eastAsia"/>
          <w:kern w:val="0"/>
          <w:sz w:val="28"/>
          <w:szCs w:val="28"/>
        </w:rPr>
        <w:t>。</w:t>
      </w:r>
    </w:p>
    <w:p w:rsidR="00B52968" w:rsidRPr="00B449F2" w:rsidRDefault="00B52968" w:rsidP="00B52968">
      <w:pPr>
        <w:pStyle w:val="Layout"/>
        <w:tabs>
          <w:tab w:val="left" w:pos="672"/>
        </w:tabs>
        <w:snapToGrid w:val="0"/>
        <w:ind w:left="-152"/>
        <w:jc w:val="both"/>
        <w:rPr>
          <w:rFonts w:ascii="標楷體" w:eastAsia="標楷體" w:hAnsi="標楷體" w:hint="eastAsia"/>
          <w:sz w:val="28"/>
          <w:szCs w:val="28"/>
        </w:rPr>
      </w:pPr>
      <w:r w:rsidRPr="00B449F2">
        <w:rPr>
          <w:rFonts w:ascii="標楷體" w:eastAsia="標楷體" w:hAnsi="標楷體" w:hint="eastAsia"/>
          <w:sz w:val="28"/>
          <w:szCs w:val="28"/>
        </w:rPr>
        <w:tab/>
      </w:r>
      <w:r w:rsidRPr="00B449F2">
        <w:rPr>
          <w:rFonts w:ascii="標楷體" w:eastAsia="標楷體" w:hAnsi="標楷體"/>
          <w:sz w:val="28"/>
          <w:szCs w:val="28"/>
        </w:rPr>
        <w:t>第 五 章 其它作業程序事項</w:t>
      </w:r>
    </w:p>
    <w:p w:rsidR="00B52968" w:rsidRPr="00B449F2" w:rsidRDefault="00B52968" w:rsidP="00B52968">
      <w:pPr>
        <w:pStyle w:val="Layout"/>
        <w:snapToGrid w:val="0"/>
        <w:ind w:leftChars="-63" w:left="1686" w:hangingChars="656" w:hanging="1837"/>
        <w:jc w:val="both"/>
        <w:rPr>
          <w:rFonts w:ascii="標楷體" w:eastAsia="標楷體" w:hAnsi="標楷體" w:hint="eastAsia"/>
          <w:sz w:val="28"/>
          <w:szCs w:val="28"/>
        </w:rPr>
      </w:pPr>
      <w:r w:rsidRPr="00B449F2">
        <w:rPr>
          <w:rFonts w:ascii="標楷體" w:eastAsia="標楷體" w:hAnsi="標楷體" w:hint="eastAsia"/>
          <w:sz w:val="28"/>
          <w:szCs w:val="28"/>
        </w:rPr>
        <w:t>第三十一條</w:t>
      </w:r>
      <w:r w:rsidRPr="00B449F2">
        <w:rPr>
          <w:rFonts w:ascii="標楷體" w:eastAsia="標楷體" w:hAnsi="標楷體"/>
          <w:sz w:val="28"/>
          <w:szCs w:val="28"/>
        </w:rPr>
        <w:tab/>
      </w:r>
      <w:r w:rsidRPr="00B449F2">
        <w:rPr>
          <w:rFonts w:ascii="標楷體" w:eastAsia="標楷體" w:hAnsi="標楷體" w:hint="eastAsia"/>
          <w:sz w:val="28"/>
          <w:szCs w:val="28"/>
        </w:rPr>
        <w:t>期貨信託事業及其基金銷售機構辦理基金銷售業務之人員，不得挪用客戶款項或受益憑證或有其他損及客戶權益之行為。</w:t>
      </w:r>
    </w:p>
    <w:p w:rsidR="00B52968" w:rsidRPr="00B449F2" w:rsidRDefault="00B52968" w:rsidP="00B52968">
      <w:pPr>
        <w:pStyle w:val="Layout"/>
        <w:snapToGrid w:val="0"/>
        <w:ind w:leftChars="-63" w:left="1686" w:hangingChars="656" w:hanging="1837"/>
        <w:jc w:val="both"/>
        <w:rPr>
          <w:rFonts w:ascii="標楷體" w:eastAsia="標楷體" w:hAnsi="標楷體" w:hint="eastAsia"/>
          <w:sz w:val="28"/>
          <w:szCs w:val="28"/>
        </w:rPr>
      </w:pPr>
      <w:r w:rsidRPr="00B449F2">
        <w:rPr>
          <w:rFonts w:ascii="標楷體" w:eastAsia="標楷體" w:hAnsi="標楷體" w:hint="eastAsia"/>
          <w:sz w:val="28"/>
          <w:szCs w:val="28"/>
        </w:rPr>
        <w:t>第三十二條</w:t>
      </w:r>
      <w:r w:rsidRPr="00B449F2">
        <w:rPr>
          <w:rFonts w:ascii="標楷體" w:eastAsia="標楷體" w:hAnsi="標楷體"/>
          <w:sz w:val="28"/>
          <w:szCs w:val="28"/>
        </w:rPr>
        <w:tab/>
      </w:r>
      <w:r w:rsidRPr="00B449F2">
        <w:rPr>
          <w:rFonts w:ascii="標楷體" w:eastAsia="標楷體" w:hAnsi="標楷體" w:hint="eastAsia"/>
          <w:sz w:val="28"/>
          <w:szCs w:val="28"/>
        </w:rPr>
        <w:t>基金銷售機構應妥善保存辦理基金銷售業務之各項憑證，其保存方式及期限，依商業會計法及相關規定辦理。</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hint="eastAsia"/>
          <w:kern w:val="0"/>
          <w:sz w:val="28"/>
          <w:szCs w:val="28"/>
        </w:rPr>
      </w:pPr>
      <w:r w:rsidRPr="00E236A3">
        <w:rPr>
          <w:rFonts w:ascii="標楷體" w:eastAsia="標楷體" w:hAnsi="標楷體" w:cs="細明體" w:hint="eastAsia"/>
          <w:kern w:val="0"/>
          <w:sz w:val="28"/>
          <w:szCs w:val="28"/>
        </w:rPr>
        <w:t>客戶申購期貨信託基金，如非以書面方式提出申請者，基金銷售機構應依法令或本公會所訂期貨信託基金電子交易作業準則相關規定辦理。</w:t>
      </w:r>
    </w:p>
    <w:p w:rsidR="00B52968" w:rsidRPr="00B449F2" w:rsidRDefault="00B52968" w:rsidP="00B52968">
      <w:pPr>
        <w:pStyle w:val="Layout"/>
        <w:snapToGrid w:val="0"/>
        <w:ind w:leftChars="-63" w:left="1686" w:hangingChars="656" w:hanging="1837"/>
        <w:jc w:val="both"/>
        <w:rPr>
          <w:rFonts w:ascii="標楷體" w:eastAsia="標楷體" w:hAnsi="標楷體" w:hint="eastAsia"/>
          <w:sz w:val="28"/>
          <w:szCs w:val="28"/>
        </w:rPr>
      </w:pPr>
      <w:r w:rsidRPr="00B449F2">
        <w:rPr>
          <w:rFonts w:ascii="標楷體" w:eastAsia="標楷體" w:hAnsi="標楷體" w:hint="eastAsia"/>
          <w:sz w:val="28"/>
          <w:szCs w:val="28"/>
        </w:rPr>
        <w:t>第三十三條</w:t>
      </w:r>
      <w:r w:rsidRPr="00B449F2">
        <w:rPr>
          <w:rFonts w:ascii="標楷體" w:eastAsia="標楷體" w:hAnsi="標楷體" w:hint="eastAsia"/>
          <w:sz w:val="28"/>
          <w:szCs w:val="28"/>
        </w:rPr>
        <w:tab/>
        <w:t>基金銷售機構終止辦理基金銷售業務者，應即通知期貨信託事業，並由期貨信託事業於事實發生日起二日內，向本公會申報並公告。</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hint="eastAsia"/>
          <w:kern w:val="0"/>
          <w:sz w:val="28"/>
          <w:szCs w:val="28"/>
        </w:rPr>
      </w:pPr>
      <w:r w:rsidRPr="00E236A3">
        <w:rPr>
          <w:rFonts w:ascii="標楷體" w:eastAsia="標楷體" w:hAnsi="標楷體" w:cs="細明體" w:hint="eastAsia"/>
          <w:kern w:val="0"/>
          <w:sz w:val="28"/>
          <w:szCs w:val="28"/>
        </w:rPr>
        <w:t>基金銷售機構終止辦理前項業務後，</w:t>
      </w:r>
      <w:proofErr w:type="gramStart"/>
      <w:r w:rsidRPr="00E236A3">
        <w:rPr>
          <w:rFonts w:ascii="標楷體" w:eastAsia="標楷體" w:hAnsi="標楷體" w:cs="細明體" w:hint="eastAsia"/>
          <w:kern w:val="0"/>
          <w:sz w:val="28"/>
          <w:szCs w:val="28"/>
        </w:rPr>
        <w:t>於轉由</w:t>
      </w:r>
      <w:proofErr w:type="gramEnd"/>
      <w:r w:rsidRPr="00E236A3">
        <w:rPr>
          <w:rFonts w:ascii="標楷體" w:eastAsia="標楷體" w:hAnsi="標楷體" w:cs="細明體" w:hint="eastAsia"/>
          <w:kern w:val="0"/>
          <w:sz w:val="28"/>
          <w:szCs w:val="28"/>
        </w:rPr>
        <w:t>其他基金銷售機構辦理前，應協助客戶辦理後續基金之買回、轉換或其他相關事宜。</w:t>
      </w:r>
    </w:p>
    <w:p w:rsidR="00B52968" w:rsidRPr="00B449F2" w:rsidRDefault="00B52968" w:rsidP="00B52968">
      <w:pPr>
        <w:pStyle w:val="Layout"/>
        <w:tabs>
          <w:tab w:val="left" w:pos="672"/>
        </w:tabs>
        <w:snapToGrid w:val="0"/>
        <w:ind w:left="-152"/>
        <w:jc w:val="both"/>
        <w:rPr>
          <w:rFonts w:ascii="標楷體" w:eastAsia="標楷體" w:hAnsi="標楷體"/>
          <w:sz w:val="28"/>
          <w:szCs w:val="28"/>
        </w:rPr>
      </w:pPr>
      <w:r w:rsidRPr="00B449F2">
        <w:rPr>
          <w:rFonts w:ascii="標楷體" w:eastAsia="標楷體" w:hAnsi="標楷體" w:hint="eastAsia"/>
          <w:sz w:val="28"/>
          <w:szCs w:val="28"/>
        </w:rPr>
        <w:tab/>
      </w:r>
      <w:bookmarkStart w:id="0" w:name="OLE_LINK1"/>
      <w:r w:rsidRPr="00B449F2">
        <w:rPr>
          <w:rFonts w:ascii="標楷體" w:eastAsia="標楷體" w:hAnsi="標楷體"/>
          <w:sz w:val="28"/>
          <w:szCs w:val="28"/>
        </w:rPr>
        <w:t>第 六 章 附則</w:t>
      </w:r>
      <w:bookmarkEnd w:id="0"/>
    </w:p>
    <w:p w:rsidR="00B52968" w:rsidRPr="00E236A3" w:rsidRDefault="00B52968" w:rsidP="00B52968">
      <w:pPr>
        <w:pStyle w:val="Layout"/>
        <w:snapToGrid w:val="0"/>
        <w:ind w:leftChars="-63" w:left="1686" w:hangingChars="656" w:hanging="1837"/>
        <w:jc w:val="both"/>
        <w:rPr>
          <w:rFonts w:ascii="標楷體" w:eastAsia="標楷體" w:hAnsi="標楷體" w:hint="eastAsia"/>
          <w:sz w:val="28"/>
          <w:szCs w:val="28"/>
        </w:rPr>
      </w:pPr>
      <w:r w:rsidRPr="00B449F2">
        <w:rPr>
          <w:rFonts w:ascii="標楷體" w:eastAsia="標楷體" w:hAnsi="標楷體" w:hint="eastAsia"/>
          <w:sz w:val="28"/>
          <w:szCs w:val="28"/>
        </w:rPr>
        <w:lastRenderedPageBreak/>
        <w:t>第三十四條</w:t>
      </w:r>
      <w:r w:rsidRPr="00B449F2">
        <w:rPr>
          <w:rFonts w:ascii="標楷體" w:eastAsia="標楷體" w:hAnsi="標楷體" w:hint="eastAsia"/>
          <w:sz w:val="28"/>
          <w:szCs w:val="28"/>
        </w:rPr>
        <w:tab/>
        <w:t>本作業程序經本公會理事會通過並報請</w:t>
      </w:r>
      <w:r w:rsidRPr="00E236A3">
        <w:rPr>
          <w:rFonts w:ascii="標楷體" w:eastAsia="標楷體" w:hAnsi="標楷體" w:hint="eastAsia"/>
          <w:sz w:val="28"/>
          <w:szCs w:val="28"/>
        </w:rPr>
        <w:t>金管會</w:t>
      </w:r>
      <w:r w:rsidRPr="00B449F2">
        <w:rPr>
          <w:rFonts w:ascii="標楷體" w:eastAsia="標楷體" w:hAnsi="標楷體" w:hint="eastAsia"/>
          <w:sz w:val="28"/>
          <w:szCs w:val="28"/>
        </w:rPr>
        <w:t>核定後施行；修正時，亦同。</w:t>
      </w:r>
    </w:p>
    <w:p w:rsidR="00B52968" w:rsidRPr="00B449F2" w:rsidRDefault="00B52968" w:rsidP="00B52968">
      <w:pPr>
        <w:jc w:val="both"/>
        <w:sectPr w:rsidR="00B52968" w:rsidRPr="00B449F2">
          <w:footerReference w:type="even" r:id="rId8"/>
          <w:footerReference w:type="default" r:id="rId9"/>
          <w:pgSz w:w="11906" w:h="16838"/>
          <w:pgMar w:top="1258" w:right="1133" w:bottom="899" w:left="1418" w:header="851" w:footer="992" w:gutter="0"/>
          <w:cols w:space="425"/>
          <w:docGrid w:type="lines" w:linePitch="360"/>
        </w:sectPr>
      </w:pPr>
    </w:p>
    <w:p w:rsidR="00B52968" w:rsidRPr="00B449F2" w:rsidRDefault="00B52968" w:rsidP="00B52968">
      <w:pPr>
        <w:pStyle w:val="a8"/>
        <w:snapToGrid w:val="0"/>
        <w:spacing w:line="240" w:lineRule="atLeast"/>
        <w:ind w:left="1739" w:hanging="1259"/>
        <w:jc w:val="both"/>
        <w:rPr>
          <w:rFonts w:ascii="標楷體" w:eastAsia="標楷體" w:hAnsi="標楷體" w:hint="eastAsia"/>
          <w:b/>
          <w:bCs/>
          <w:sz w:val="28"/>
        </w:rPr>
      </w:pPr>
      <w:r w:rsidRPr="00B449F2">
        <w:rPr>
          <w:rFonts w:ascii="標楷體" w:eastAsia="標楷體" w:hAnsi="標楷體" w:hint="eastAsia"/>
          <w:b/>
          <w:bCs/>
          <w:sz w:val="28"/>
        </w:rPr>
        <w:lastRenderedPageBreak/>
        <w:t>（附表一）</w:t>
      </w:r>
    </w:p>
    <w:p w:rsidR="00B52968" w:rsidRPr="00B449F2" w:rsidRDefault="00B52968" w:rsidP="00B52968">
      <w:pPr>
        <w:pStyle w:val="a8"/>
        <w:snapToGrid w:val="0"/>
        <w:spacing w:afterLines="100" w:after="360" w:line="240" w:lineRule="atLeast"/>
        <w:ind w:leftChars="-75" w:left="-180" w:rightChars="-86" w:right="-206"/>
        <w:jc w:val="center"/>
        <w:rPr>
          <w:rFonts w:ascii="標楷體" w:eastAsia="標楷體" w:hAnsi="標楷體" w:hint="eastAsia"/>
          <w:b/>
          <w:bCs/>
          <w:sz w:val="28"/>
        </w:rPr>
      </w:pPr>
      <w:r w:rsidRPr="00B449F2">
        <w:rPr>
          <w:rFonts w:ascii="標楷體" w:eastAsia="標楷體" w:hAnsi="標楷體" w:hint="eastAsia"/>
          <w:b/>
          <w:bCs/>
          <w:sz w:val="28"/>
        </w:rPr>
        <w:t>期貨信託事業辦理期貨</w:t>
      </w:r>
      <w:r w:rsidRPr="00B449F2">
        <w:rPr>
          <w:rFonts w:ascii="標楷體" w:eastAsia="標楷體" w:hAnsi="標楷體" w:hint="eastAsia"/>
          <w:b/>
          <w:bCs/>
          <w:sz w:val="28"/>
          <w:szCs w:val="32"/>
        </w:rPr>
        <w:t>信託基金首次募集發行銷售作業</w:t>
      </w:r>
      <w:r w:rsidRPr="00B449F2">
        <w:rPr>
          <w:rFonts w:ascii="標楷體" w:eastAsia="標楷體" w:hAnsi="標楷體" w:hint="eastAsia"/>
          <w:b/>
          <w:bCs/>
          <w:sz w:val="28"/>
        </w:rPr>
        <w:t>申報書</w:t>
      </w:r>
    </w:p>
    <w:tbl>
      <w:tblPr>
        <w:tblW w:w="49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58"/>
        <w:gridCol w:w="3114"/>
        <w:gridCol w:w="496"/>
        <w:gridCol w:w="721"/>
        <w:gridCol w:w="716"/>
        <w:gridCol w:w="2720"/>
      </w:tblGrid>
      <w:tr w:rsidR="00B52968" w:rsidRPr="00B449F2" w:rsidTr="008C1F1C">
        <w:tblPrEx>
          <w:tblCellMar>
            <w:top w:w="0" w:type="dxa"/>
            <w:bottom w:w="0" w:type="dxa"/>
          </w:tblCellMar>
        </w:tblPrEx>
        <w:trPr>
          <w:cantSplit/>
          <w:trHeight w:val="405"/>
        </w:trPr>
        <w:tc>
          <w:tcPr>
            <w:tcW w:w="2747" w:type="pct"/>
            <w:gridSpan w:val="3"/>
            <w:vMerge w:val="restart"/>
            <w:vAlign w:val="center"/>
          </w:tcPr>
          <w:p w:rsidR="00B52968" w:rsidRPr="00B449F2" w:rsidRDefault="00B52968" w:rsidP="008C1F1C">
            <w:pPr>
              <w:snapToGrid w:val="0"/>
              <w:spacing w:beforeLines="50" w:before="180" w:afterLines="50" w:after="180" w:line="240" w:lineRule="atLeast"/>
              <w:ind w:left="900" w:hangingChars="375" w:hanging="900"/>
              <w:jc w:val="both"/>
              <w:rPr>
                <w:rFonts w:ascii="標楷體" w:eastAsia="標楷體" w:hAnsi="標楷體" w:hint="eastAsia"/>
                <w:szCs w:val="24"/>
              </w:rPr>
            </w:pPr>
            <w:r w:rsidRPr="00B449F2">
              <w:rPr>
                <w:rFonts w:ascii="標楷體" w:eastAsia="標楷體" w:hAnsi="標楷體" w:hint="eastAsia"/>
                <w:szCs w:val="24"/>
              </w:rPr>
              <w:t>受文者：中華民國期貨業商業同業公會</w:t>
            </w:r>
          </w:p>
        </w:tc>
        <w:tc>
          <w:tcPr>
            <w:tcW w:w="391" w:type="pct"/>
            <w:vMerge w:val="restart"/>
            <w:vAlign w:val="center"/>
          </w:tcPr>
          <w:p w:rsidR="00B52968" w:rsidRPr="00B449F2" w:rsidRDefault="00B52968" w:rsidP="008C1F1C">
            <w:pPr>
              <w:snapToGrid w:val="0"/>
              <w:spacing w:beforeLines="50" w:before="180" w:afterLines="50" w:after="180" w:line="240" w:lineRule="atLeast"/>
              <w:ind w:left="900" w:hangingChars="375" w:hanging="900"/>
              <w:jc w:val="center"/>
              <w:rPr>
                <w:rFonts w:ascii="標楷體" w:eastAsia="標楷體" w:hAnsi="標楷體" w:hint="eastAsia"/>
                <w:szCs w:val="24"/>
              </w:rPr>
            </w:pPr>
            <w:r w:rsidRPr="00B449F2">
              <w:rPr>
                <w:rFonts w:ascii="標楷體" w:eastAsia="標楷體" w:hAnsi="標楷體" w:hint="eastAsia"/>
                <w:szCs w:val="24"/>
              </w:rPr>
              <w:t>發文</w:t>
            </w:r>
          </w:p>
        </w:tc>
        <w:tc>
          <w:tcPr>
            <w:tcW w:w="388" w:type="pct"/>
            <w:vAlign w:val="center"/>
          </w:tcPr>
          <w:p w:rsidR="00B52968" w:rsidRPr="00B449F2" w:rsidRDefault="00B52968" w:rsidP="008C1F1C">
            <w:pPr>
              <w:snapToGrid w:val="0"/>
              <w:spacing w:beforeLines="50" w:before="180" w:afterLines="50" w:after="180" w:line="240" w:lineRule="atLeast"/>
              <w:ind w:left="900" w:hangingChars="375" w:hanging="900"/>
              <w:jc w:val="center"/>
              <w:rPr>
                <w:rFonts w:ascii="標楷體" w:eastAsia="標楷體" w:hAnsi="標楷體" w:hint="eastAsia"/>
                <w:szCs w:val="24"/>
              </w:rPr>
            </w:pPr>
            <w:r w:rsidRPr="00B449F2">
              <w:rPr>
                <w:rFonts w:ascii="標楷體" w:eastAsia="標楷體" w:hAnsi="標楷體" w:hint="eastAsia"/>
                <w:szCs w:val="24"/>
              </w:rPr>
              <w:t>日期</w:t>
            </w:r>
          </w:p>
        </w:tc>
        <w:tc>
          <w:tcPr>
            <w:tcW w:w="1474" w:type="pct"/>
          </w:tcPr>
          <w:p w:rsidR="00B52968" w:rsidRPr="00B449F2" w:rsidRDefault="00B52968" w:rsidP="008C1F1C">
            <w:pPr>
              <w:snapToGrid w:val="0"/>
              <w:spacing w:beforeLines="50" w:before="180" w:afterLines="50" w:after="180" w:line="240" w:lineRule="atLeast"/>
              <w:ind w:left="900" w:hangingChars="375" w:hanging="900"/>
              <w:jc w:val="both"/>
              <w:rPr>
                <w:rFonts w:ascii="標楷體" w:eastAsia="標楷體" w:hAnsi="標楷體" w:hint="eastAsia"/>
                <w:szCs w:val="24"/>
              </w:rPr>
            </w:pPr>
          </w:p>
        </w:tc>
      </w:tr>
      <w:tr w:rsidR="00B52968" w:rsidRPr="00B449F2" w:rsidTr="008C1F1C">
        <w:tblPrEx>
          <w:tblCellMar>
            <w:top w:w="0" w:type="dxa"/>
            <w:bottom w:w="0" w:type="dxa"/>
          </w:tblCellMar>
        </w:tblPrEx>
        <w:trPr>
          <w:cantSplit/>
          <w:trHeight w:val="405"/>
        </w:trPr>
        <w:tc>
          <w:tcPr>
            <w:tcW w:w="2747" w:type="pct"/>
            <w:gridSpan w:val="3"/>
            <w:vMerge/>
          </w:tcPr>
          <w:p w:rsidR="00B52968" w:rsidRPr="00B449F2" w:rsidRDefault="00B52968" w:rsidP="008C1F1C">
            <w:pPr>
              <w:snapToGrid w:val="0"/>
              <w:spacing w:beforeLines="50" w:before="180" w:afterLines="50" w:after="180" w:line="240" w:lineRule="atLeast"/>
              <w:ind w:left="900" w:hangingChars="375" w:hanging="900"/>
              <w:jc w:val="both"/>
              <w:rPr>
                <w:rFonts w:ascii="標楷體" w:eastAsia="標楷體" w:hAnsi="標楷體" w:hint="eastAsia"/>
                <w:szCs w:val="24"/>
              </w:rPr>
            </w:pPr>
          </w:p>
        </w:tc>
        <w:tc>
          <w:tcPr>
            <w:tcW w:w="391" w:type="pct"/>
            <w:vMerge/>
          </w:tcPr>
          <w:p w:rsidR="00B52968" w:rsidRPr="00B449F2" w:rsidRDefault="00B52968" w:rsidP="008C1F1C">
            <w:pPr>
              <w:snapToGrid w:val="0"/>
              <w:spacing w:beforeLines="50" w:before="180" w:afterLines="50" w:after="180" w:line="240" w:lineRule="atLeast"/>
              <w:ind w:left="900" w:hangingChars="375" w:hanging="900"/>
              <w:jc w:val="both"/>
              <w:rPr>
                <w:rFonts w:ascii="標楷體" w:eastAsia="標楷體" w:hAnsi="標楷體" w:hint="eastAsia"/>
                <w:szCs w:val="24"/>
              </w:rPr>
            </w:pPr>
          </w:p>
        </w:tc>
        <w:tc>
          <w:tcPr>
            <w:tcW w:w="388" w:type="pct"/>
            <w:vAlign w:val="center"/>
          </w:tcPr>
          <w:p w:rsidR="00B52968" w:rsidRPr="00B449F2" w:rsidRDefault="00B52968" w:rsidP="008C1F1C">
            <w:pPr>
              <w:snapToGrid w:val="0"/>
              <w:spacing w:beforeLines="50" w:before="180" w:afterLines="50" w:after="180" w:line="240" w:lineRule="atLeast"/>
              <w:ind w:left="900" w:hangingChars="375" w:hanging="900"/>
              <w:jc w:val="center"/>
              <w:rPr>
                <w:rFonts w:ascii="標楷體" w:eastAsia="標楷體" w:hAnsi="標楷體" w:hint="eastAsia"/>
                <w:szCs w:val="24"/>
              </w:rPr>
            </w:pPr>
            <w:r w:rsidRPr="00B449F2">
              <w:rPr>
                <w:rFonts w:ascii="標楷體" w:eastAsia="標楷體" w:hAnsi="標楷體" w:hint="eastAsia"/>
                <w:szCs w:val="24"/>
              </w:rPr>
              <w:t>文號</w:t>
            </w:r>
          </w:p>
        </w:tc>
        <w:tc>
          <w:tcPr>
            <w:tcW w:w="1474" w:type="pct"/>
          </w:tcPr>
          <w:p w:rsidR="00B52968" w:rsidRPr="00B449F2" w:rsidRDefault="00B52968" w:rsidP="008C1F1C">
            <w:pPr>
              <w:snapToGrid w:val="0"/>
              <w:spacing w:beforeLines="50" w:before="180" w:afterLines="50" w:after="180" w:line="240" w:lineRule="atLeast"/>
              <w:ind w:left="900" w:hangingChars="375" w:hanging="900"/>
              <w:jc w:val="both"/>
              <w:rPr>
                <w:rFonts w:ascii="標楷體" w:eastAsia="標楷體" w:hAnsi="標楷體" w:hint="eastAsia"/>
                <w:szCs w:val="24"/>
              </w:rPr>
            </w:pPr>
          </w:p>
        </w:tc>
      </w:tr>
      <w:tr w:rsidR="00B52968" w:rsidRPr="00B449F2" w:rsidTr="008C1F1C">
        <w:tblPrEx>
          <w:tblCellMar>
            <w:top w:w="0" w:type="dxa"/>
            <w:bottom w:w="0" w:type="dxa"/>
          </w:tblCellMar>
        </w:tblPrEx>
        <w:trPr>
          <w:trHeight w:val="1094"/>
        </w:trPr>
        <w:tc>
          <w:tcPr>
            <w:tcW w:w="5000" w:type="pct"/>
            <w:gridSpan w:val="6"/>
          </w:tcPr>
          <w:p w:rsidR="00B52968" w:rsidRPr="00B449F2" w:rsidRDefault="00B52968" w:rsidP="008C1F1C">
            <w:pPr>
              <w:snapToGrid w:val="0"/>
              <w:spacing w:beforeLines="50" w:before="180" w:line="240" w:lineRule="atLeast"/>
              <w:jc w:val="both"/>
              <w:rPr>
                <w:rFonts w:ascii="標楷體" w:eastAsia="標楷體" w:hAnsi="標楷體" w:hint="eastAsia"/>
                <w:szCs w:val="24"/>
              </w:rPr>
            </w:pPr>
            <w:r w:rsidRPr="00B449F2">
              <w:rPr>
                <w:rFonts w:ascii="標楷體" w:eastAsia="標楷體" w:hAnsi="標楷體" w:hint="eastAsia"/>
                <w:szCs w:val="24"/>
              </w:rPr>
              <w:t>主  旨：依</w:t>
            </w:r>
            <w:r w:rsidRPr="00B449F2">
              <w:rPr>
                <w:rFonts w:ascii="標楷體" w:eastAsia="標楷體" w:hAnsi="標楷體" w:hint="eastAsia"/>
                <w:szCs w:val="36"/>
              </w:rPr>
              <w:t>期貨信託基金之募集、發行、銷售及申購買回作業程序</w:t>
            </w:r>
            <w:r w:rsidRPr="00B449F2">
              <w:rPr>
                <w:rFonts w:ascii="標楷體" w:eastAsia="標楷體" w:hAnsi="標楷體" w:hint="eastAsia"/>
                <w:szCs w:val="24"/>
              </w:rPr>
              <w:t>第十一條規定，申報</w:t>
            </w:r>
          </w:p>
          <w:p w:rsidR="00B52968" w:rsidRPr="00B449F2" w:rsidRDefault="00B52968" w:rsidP="008C1F1C">
            <w:pPr>
              <w:snapToGrid w:val="0"/>
              <w:spacing w:line="240" w:lineRule="atLeast"/>
              <w:ind w:firstLineChars="400" w:firstLine="960"/>
              <w:jc w:val="both"/>
              <w:rPr>
                <w:rFonts w:ascii="標楷體" w:eastAsia="標楷體" w:hAnsi="標楷體" w:hint="eastAsia"/>
                <w:szCs w:val="24"/>
              </w:rPr>
            </w:pPr>
            <w:r w:rsidRPr="00B449F2">
              <w:rPr>
                <w:rFonts w:ascii="標楷體" w:eastAsia="標楷體" w:hAnsi="標楷體" w:hint="eastAsia"/>
                <w:szCs w:val="24"/>
              </w:rPr>
              <w:t>辦理下列期貨信託基金募集發行銷售作業及相關附件，請  查照。</w:t>
            </w:r>
          </w:p>
        </w:tc>
      </w:tr>
      <w:tr w:rsidR="00B52968" w:rsidRPr="00B449F2" w:rsidTr="008C1F1C">
        <w:tblPrEx>
          <w:tblCellMar>
            <w:top w:w="0" w:type="dxa"/>
            <w:bottom w:w="0" w:type="dxa"/>
          </w:tblCellMar>
        </w:tblPrEx>
        <w:trPr>
          <w:trHeight w:val="328"/>
        </w:trPr>
        <w:tc>
          <w:tcPr>
            <w:tcW w:w="790" w:type="pct"/>
            <w:tcBorders>
              <w:bottom w:val="single" w:sz="4" w:space="0" w:color="auto"/>
            </w:tcBorders>
            <w:vAlign w:val="center"/>
          </w:tcPr>
          <w:p w:rsidR="00B52968" w:rsidRPr="00B449F2" w:rsidRDefault="00B52968" w:rsidP="008C1F1C">
            <w:pPr>
              <w:jc w:val="center"/>
              <w:rPr>
                <w:rFonts w:ascii="標楷體" w:eastAsia="標楷體" w:hAnsi="標楷體" w:hint="eastAsia"/>
              </w:rPr>
            </w:pPr>
            <w:r w:rsidRPr="00B52968">
              <w:rPr>
                <w:rFonts w:ascii="標楷體" w:eastAsia="標楷體" w:hAnsi="標楷體" w:hint="eastAsia"/>
                <w:kern w:val="0"/>
                <w:fitText w:val="960" w:id="1802646272"/>
              </w:rPr>
              <w:t>公司名稱</w:t>
            </w:r>
          </w:p>
        </w:tc>
        <w:tc>
          <w:tcPr>
            <w:tcW w:w="1688" w:type="pct"/>
            <w:tcBorders>
              <w:bottom w:val="single" w:sz="4" w:space="0" w:color="auto"/>
            </w:tcBorders>
          </w:tcPr>
          <w:p w:rsidR="00B52968" w:rsidRPr="00B449F2" w:rsidRDefault="00B52968" w:rsidP="008C1F1C">
            <w:pPr>
              <w:rPr>
                <w:rFonts w:ascii="標楷體" w:eastAsia="標楷體" w:hAnsi="標楷體"/>
              </w:rPr>
            </w:pPr>
          </w:p>
        </w:tc>
        <w:tc>
          <w:tcPr>
            <w:tcW w:w="660" w:type="pct"/>
            <w:gridSpan w:val="2"/>
            <w:tcBorders>
              <w:bottom w:val="single" w:sz="4" w:space="0" w:color="auto"/>
            </w:tcBorders>
          </w:tcPr>
          <w:p w:rsidR="00B52968" w:rsidRPr="00B449F2" w:rsidRDefault="00B52968" w:rsidP="008C1F1C">
            <w:pPr>
              <w:jc w:val="center"/>
              <w:rPr>
                <w:rFonts w:ascii="標楷體" w:eastAsia="標楷體" w:hAnsi="標楷體" w:hint="eastAsia"/>
              </w:rPr>
            </w:pPr>
            <w:r w:rsidRPr="00B449F2">
              <w:rPr>
                <w:rFonts w:ascii="標楷體" w:eastAsia="標楷體" w:hAnsi="標楷體" w:hint="eastAsia"/>
              </w:rPr>
              <w:t>基金發行</w:t>
            </w:r>
          </w:p>
          <w:p w:rsidR="00B52968" w:rsidRPr="00B449F2" w:rsidRDefault="00B52968" w:rsidP="008C1F1C">
            <w:pPr>
              <w:jc w:val="center"/>
              <w:rPr>
                <w:rFonts w:ascii="標楷體" w:eastAsia="標楷體" w:hAnsi="標楷體" w:hint="eastAsia"/>
              </w:rPr>
            </w:pPr>
            <w:r w:rsidRPr="00B52968">
              <w:rPr>
                <w:rFonts w:ascii="標楷體" w:eastAsia="標楷體" w:hAnsi="標楷體" w:hint="eastAsia"/>
                <w:spacing w:val="240"/>
                <w:kern w:val="0"/>
                <w:fitText w:val="960" w:id="1802646273"/>
              </w:rPr>
              <w:t>地</w:t>
            </w:r>
            <w:r w:rsidRPr="00B52968">
              <w:rPr>
                <w:rFonts w:ascii="標楷體" w:eastAsia="標楷體" w:hAnsi="標楷體" w:hint="eastAsia"/>
                <w:kern w:val="0"/>
                <w:fitText w:val="960" w:id="1802646273"/>
              </w:rPr>
              <w:t>區</w:t>
            </w:r>
          </w:p>
        </w:tc>
        <w:tc>
          <w:tcPr>
            <w:tcW w:w="1862" w:type="pct"/>
            <w:gridSpan w:val="2"/>
            <w:tcBorders>
              <w:bottom w:val="single" w:sz="4" w:space="0" w:color="auto"/>
            </w:tcBorders>
          </w:tcPr>
          <w:p w:rsidR="00B52968" w:rsidRPr="00B449F2" w:rsidRDefault="00B52968" w:rsidP="008C1F1C">
            <w:pPr>
              <w:rPr>
                <w:rFonts w:ascii="標楷體" w:eastAsia="標楷體" w:hAnsi="標楷體"/>
              </w:rPr>
            </w:pPr>
          </w:p>
        </w:tc>
      </w:tr>
      <w:tr w:rsidR="00B52968" w:rsidRPr="00B449F2" w:rsidTr="008C1F1C">
        <w:tblPrEx>
          <w:tblCellMar>
            <w:top w:w="0" w:type="dxa"/>
            <w:bottom w:w="0" w:type="dxa"/>
          </w:tblCellMar>
        </w:tblPrEx>
        <w:trPr>
          <w:trHeight w:val="326"/>
        </w:trPr>
        <w:tc>
          <w:tcPr>
            <w:tcW w:w="790" w:type="pct"/>
            <w:tcBorders>
              <w:bottom w:val="single" w:sz="4" w:space="0" w:color="auto"/>
            </w:tcBorders>
            <w:vAlign w:val="center"/>
          </w:tcPr>
          <w:p w:rsidR="00B52968" w:rsidRPr="00B449F2" w:rsidRDefault="00B52968" w:rsidP="008C1F1C">
            <w:pPr>
              <w:jc w:val="center"/>
              <w:rPr>
                <w:rFonts w:ascii="標楷體" w:eastAsia="標楷體" w:hAnsi="標楷體" w:hint="eastAsia"/>
              </w:rPr>
            </w:pPr>
            <w:r w:rsidRPr="00B449F2">
              <w:rPr>
                <w:rFonts w:ascii="標楷體" w:eastAsia="標楷體" w:hAnsi="標楷體" w:hint="eastAsia"/>
              </w:rPr>
              <w:t>基金名稱</w:t>
            </w:r>
          </w:p>
        </w:tc>
        <w:tc>
          <w:tcPr>
            <w:tcW w:w="1688" w:type="pct"/>
            <w:tcBorders>
              <w:bottom w:val="single" w:sz="4" w:space="0" w:color="auto"/>
            </w:tcBorders>
          </w:tcPr>
          <w:p w:rsidR="00B52968" w:rsidRPr="00B449F2" w:rsidRDefault="00B52968" w:rsidP="008C1F1C">
            <w:pPr>
              <w:rPr>
                <w:rFonts w:ascii="標楷體" w:eastAsia="標楷體" w:hAnsi="標楷體"/>
              </w:rPr>
            </w:pPr>
          </w:p>
        </w:tc>
        <w:tc>
          <w:tcPr>
            <w:tcW w:w="660" w:type="pct"/>
            <w:gridSpan w:val="2"/>
            <w:tcBorders>
              <w:bottom w:val="single" w:sz="4" w:space="0" w:color="auto"/>
            </w:tcBorders>
          </w:tcPr>
          <w:p w:rsidR="00B52968" w:rsidRPr="00B449F2" w:rsidRDefault="00B52968" w:rsidP="008C1F1C">
            <w:pPr>
              <w:jc w:val="center"/>
              <w:rPr>
                <w:rFonts w:ascii="標楷體" w:eastAsia="標楷體" w:hAnsi="標楷體" w:hint="eastAsia"/>
              </w:rPr>
            </w:pPr>
            <w:r w:rsidRPr="00B449F2">
              <w:rPr>
                <w:rFonts w:ascii="標楷體" w:eastAsia="標楷體" w:hAnsi="標楷體" w:hint="eastAsia"/>
              </w:rPr>
              <w:t>基金投資</w:t>
            </w:r>
          </w:p>
          <w:p w:rsidR="00B52968" w:rsidRPr="00B449F2" w:rsidRDefault="00B52968" w:rsidP="008C1F1C">
            <w:pPr>
              <w:jc w:val="center"/>
              <w:rPr>
                <w:rFonts w:ascii="標楷體" w:eastAsia="標楷體" w:hAnsi="標楷體" w:hint="eastAsia"/>
              </w:rPr>
            </w:pPr>
            <w:r w:rsidRPr="00B52968">
              <w:rPr>
                <w:rFonts w:ascii="標楷體" w:eastAsia="標楷體" w:hAnsi="標楷體" w:hint="eastAsia"/>
                <w:spacing w:val="240"/>
                <w:kern w:val="0"/>
                <w:fitText w:val="960" w:id="1802646274"/>
              </w:rPr>
              <w:t>地</w:t>
            </w:r>
            <w:r w:rsidRPr="00B52968">
              <w:rPr>
                <w:rFonts w:ascii="標楷體" w:eastAsia="標楷體" w:hAnsi="標楷體" w:hint="eastAsia"/>
                <w:kern w:val="0"/>
                <w:fitText w:val="960" w:id="1802646274"/>
              </w:rPr>
              <w:t>區</w:t>
            </w:r>
          </w:p>
        </w:tc>
        <w:tc>
          <w:tcPr>
            <w:tcW w:w="1862" w:type="pct"/>
            <w:gridSpan w:val="2"/>
            <w:tcBorders>
              <w:bottom w:val="single" w:sz="4" w:space="0" w:color="auto"/>
            </w:tcBorders>
          </w:tcPr>
          <w:p w:rsidR="00B52968" w:rsidRPr="00B449F2" w:rsidRDefault="00B52968" w:rsidP="008C1F1C">
            <w:pPr>
              <w:rPr>
                <w:rFonts w:ascii="標楷體" w:eastAsia="標楷體" w:hAnsi="標楷體"/>
              </w:rPr>
            </w:pPr>
          </w:p>
        </w:tc>
      </w:tr>
      <w:tr w:rsidR="00B52968" w:rsidRPr="00B449F2" w:rsidTr="008C1F1C">
        <w:tblPrEx>
          <w:tblCellMar>
            <w:top w:w="0" w:type="dxa"/>
            <w:bottom w:w="0" w:type="dxa"/>
          </w:tblCellMar>
        </w:tblPrEx>
        <w:trPr>
          <w:cantSplit/>
          <w:trHeight w:val="326"/>
        </w:trPr>
        <w:tc>
          <w:tcPr>
            <w:tcW w:w="790" w:type="pct"/>
            <w:tcBorders>
              <w:bottom w:val="single" w:sz="4" w:space="0" w:color="auto"/>
            </w:tcBorders>
            <w:vAlign w:val="center"/>
          </w:tcPr>
          <w:p w:rsidR="00B52968" w:rsidRPr="00B449F2" w:rsidRDefault="00B52968" w:rsidP="008C1F1C">
            <w:pPr>
              <w:jc w:val="center"/>
              <w:rPr>
                <w:rFonts w:ascii="標楷體" w:eastAsia="標楷體" w:hAnsi="標楷體" w:hint="eastAsia"/>
              </w:rPr>
            </w:pPr>
            <w:r w:rsidRPr="00B449F2">
              <w:rPr>
                <w:rFonts w:ascii="標楷體" w:eastAsia="標楷體" w:hAnsi="標楷體" w:hint="eastAsia"/>
              </w:rPr>
              <w:t>基金型態</w:t>
            </w:r>
          </w:p>
        </w:tc>
        <w:tc>
          <w:tcPr>
            <w:tcW w:w="4210" w:type="pct"/>
            <w:gridSpan w:val="5"/>
            <w:tcBorders>
              <w:bottom w:val="single" w:sz="4" w:space="0" w:color="auto"/>
            </w:tcBorders>
            <w:vAlign w:val="center"/>
          </w:tcPr>
          <w:p w:rsidR="00B52968" w:rsidRPr="00B449F2" w:rsidRDefault="00B52968" w:rsidP="00B52968">
            <w:pPr>
              <w:numPr>
                <w:ilvl w:val="0"/>
                <w:numId w:val="3"/>
              </w:numPr>
              <w:ind w:left="357" w:hanging="357"/>
              <w:jc w:val="both"/>
              <w:rPr>
                <w:rFonts w:ascii="標楷體" w:eastAsia="標楷體" w:hAnsi="標楷體"/>
              </w:rPr>
            </w:pPr>
            <w:r w:rsidRPr="00B449F2">
              <w:rPr>
                <w:rFonts w:ascii="標楷體" w:eastAsia="標楷體" w:hAnsi="標楷體" w:hint="eastAsia"/>
              </w:rPr>
              <w:t>開放式    □封閉式    □其他</w:t>
            </w:r>
          </w:p>
        </w:tc>
      </w:tr>
      <w:tr w:rsidR="00B52968" w:rsidRPr="00B449F2" w:rsidTr="008C1F1C">
        <w:tblPrEx>
          <w:tblCellMar>
            <w:top w:w="0" w:type="dxa"/>
            <w:bottom w:w="0" w:type="dxa"/>
          </w:tblCellMar>
        </w:tblPrEx>
        <w:trPr>
          <w:cantSplit/>
          <w:trHeight w:val="326"/>
        </w:trPr>
        <w:tc>
          <w:tcPr>
            <w:tcW w:w="790" w:type="pct"/>
            <w:tcBorders>
              <w:bottom w:val="single" w:sz="4" w:space="0" w:color="auto"/>
            </w:tcBorders>
            <w:vAlign w:val="center"/>
          </w:tcPr>
          <w:p w:rsidR="00B52968" w:rsidRPr="00B449F2" w:rsidRDefault="00B52968" w:rsidP="008C1F1C">
            <w:pPr>
              <w:jc w:val="center"/>
              <w:rPr>
                <w:rFonts w:ascii="標楷體" w:eastAsia="標楷體" w:hAnsi="標楷體" w:hint="eastAsia"/>
              </w:rPr>
            </w:pPr>
            <w:r w:rsidRPr="00B449F2">
              <w:rPr>
                <w:rFonts w:ascii="標楷體" w:eastAsia="標楷體" w:hAnsi="標楷體" w:hint="eastAsia"/>
              </w:rPr>
              <w:t>基金種類</w:t>
            </w:r>
          </w:p>
        </w:tc>
        <w:tc>
          <w:tcPr>
            <w:tcW w:w="4210" w:type="pct"/>
            <w:gridSpan w:val="5"/>
            <w:tcBorders>
              <w:bottom w:val="single" w:sz="4" w:space="0" w:color="auto"/>
            </w:tcBorders>
          </w:tcPr>
          <w:p w:rsidR="00B52968" w:rsidRPr="00B449F2" w:rsidRDefault="00B52968" w:rsidP="008C1F1C">
            <w:pPr>
              <w:rPr>
                <w:rFonts w:ascii="標楷體" w:eastAsia="標楷體" w:hAnsi="標楷體"/>
              </w:rPr>
            </w:pPr>
            <w:r w:rsidRPr="00B449F2">
              <w:rPr>
                <w:rFonts w:ascii="標楷體" w:eastAsia="標楷體" w:hAnsi="標楷體" w:hint="eastAsia"/>
              </w:rPr>
              <w:t xml:space="preserve">□ 傘型    □ 組合型    □ 保本型    □ 一般型   □ 指數股票型 </w:t>
            </w:r>
          </w:p>
        </w:tc>
      </w:tr>
      <w:tr w:rsidR="00B52968" w:rsidRPr="00B449F2" w:rsidTr="008C1F1C">
        <w:tblPrEx>
          <w:tblCellMar>
            <w:top w:w="0" w:type="dxa"/>
            <w:bottom w:w="0" w:type="dxa"/>
          </w:tblCellMar>
        </w:tblPrEx>
        <w:trPr>
          <w:trHeight w:val="326"/>
        </w:trPr>
        <w:tc>
          <w:tcPr>
            <w:tcW w:w="790" w:type="pct"/>
            <w:tcBorders>
              <w:bottom w:val="single" w:sz="4" w:space="0" w:color="auto"/>
            </w:tcBorders>
            <w:vAlign w:val="center"/>
          </w:tcPr>
          <w:p w:rsidR="00B52968" w:rsidRPr="00B449F2" w:rsidRDefault="00B52968" w:rsidP="008C1F1C">
            <w:pPr>
              <w:jc w:val="center"/>
              <w:rPr>
                <w:rFonts w:ascii="標楷體" w:eastAsia="標楷體" w:hAnsi="標楷體" w:hint="eastAsia"/>
              </w:rPr>
            </w:pPr>
            <w:r w:rsidRPr="00B449F2">
              <w:rPr>
                <w:rFonts w:ascii="標楷體" w:eastAsia="標楷體" w:hAnsi="標楷體" w:hint="eastAsia"/>
              </w:rPr>
              <w:t>募集總面額</w:t>
            </w:r>
          </w:p>
        </w:tc>
        <w:tc>
          <w:tcPr>
            <w:tcW w:w="1688" w:type="pct"/>
            <w:tcBorders>
              <w:bottom w:val="single" w:sz="4" w:space="0" w:color="auto"/>
            </w:tcBorders>
          </w:tcPr>
          <w:p w:rsidR="00B52968" w:rsidRPr="00B449F2" w:rsidRDefault="00B52968" w:rsidP="008C1F1C">
            <w:pPr>
              <w:rPr>
                <w:rFonts w:ascii="標楷體" w:eastAsia="標楷體" w:hAnsi="標楷體"/>
              </w:rPr>
            </w:pPr>
          </w:p>
        </w:tc>
        <w:tc>
          <w:tcPr>
            <w:tcW w:w="660" w:type="pct"/>
            <w:gridSpan w:val="2"/>
            <w:tcBorders>
              <w:bottom w:val="single" w:sz="4" w:space="0" w:color="auto"/>
            </w:tcBorders>
            <w:vAlign w:val="center"/>
          </w:tcPr>
          <w:p w:rsidR="00B52968" w:rsidRPr="00B449F2" w:rsidRDefault="00B52968" w:rsidP="008C1F1C">
            <w:pPr>
              <w:jc w:val="center"/>
              <w:rPr>
                <w:rFonts w:ascii="標楷體" w:eastAsia="標楷體" w:hAnsi="標楷體" w:hint="eastAsia"/>
              </w:rPr>
            </w:pPr>
            <w:r w:rsidRPr="00B449F2">
              <w:rPr>
                <w:rFonts w:ascii="標楷體" w:eastAsia="標楷體" w:hAnsi="標楷體" w:hint="eastAsia"/>
              </w:rPr>
              <w:t>每單位</w:t>
            </w:r>
          </w:p>
          <w:p w:rsidR="00B52968" w:rsidRPr="00B449F2" w:rsidRDefault="00B52968" w:rsidP="008C1F1C">
            <w:pPr>
              <w:jc w:val="center"/>
              <w:rPr>
                <w:rFonts w:ascii="標楷體" w:eastAsia="標楷體" w:hAnsi="標楷體" w:hint="eastAsia"/>
              </w:rPr>
            </w:pPr>
            <w:r w:rsidRPr="00B449F2">
              <w:rPr>
                <w:rFonts w:ascii="標楷體" w:eastAsia="標楷體" w:hAnsi="標楷體" w:hint="eastAsia"/>
              </w:rPr>
              <w:t>面額</w:t>
            </w:r>
          </w:p>
        </w:tc>
        <w:tc>
          <w:tcPr>
            <w:tcW w:w="1862" w:type="pct"/>
            <w:gridSpan w:val="2"/>
            <w:tcBorders>
              <w:bottom w:val="single" w:sz="4" w:space="0" w:color="auto"/>
            </w:tcBorders>
          </w:tcPr>
          <w:p w:rsidR="00B52968" w:rsidRPr="00B449F2" w:rsidRDefault="00B52968" w:rsidP="008C1F1C">
            <w:pPr>
              <w:rPr>
                <w:rFonts w:ascii="標楷體" w:eastAsia="標楷體" w:hAnsi="標楷體"/>
              </w:rPr>
            </w:pPr>
          </w:p>
        </w:tc>
      </w:tr>
      <w:tr w:rsidR="00B52968" w:rsidRPr="00B449F2" w:rsidTr="008C1F1C">
        <w:tblPrEx>
          <w:tblCellMar>
            <w:top w:w="0" w:type="dxa"/>
            <w:bottom w:w="0" w:type="dxa"/>
          </w:tblCellMar>
        </w:tblPrEx>
        <w:trPr>
          <w:cantSplit/>
          <w:trHeight w:val="326"/>
        </w:trPr>
        <w:tc>
          <w:tcPr>
            <w:tcW w:w="5000" w:type="pct"/>
            <w:gridSpan w:val="6"/>
            <w:tcBorders>
              <w:bottom w:val="single" w:sz="4" w:space="0" w:color="auto"/>
            </w:tcBorders>
            <w:vAlign w:val="center"/>
          </w:tcPr>
          <w:p w:rsidR="00B52968" w:rsidRPr="00B449F2" w:rsidRDefault="00B52968" w:rsidP="008C1F1C">
            <w:pPr>
              <w:spacing w:beforeLines="50" w:before="180" w:afterLines="50" w:after="180"/>
              <w:rPr>
                <w:rFonts w:ascii="標楷體" w:eastAsia="標楷體" w:hAnsi="標楷體"/>
              </w:rPr>
            </w:pPr>
            <w:r w:rsidRPr="00B449F2">
              <w:rPr>
                <w:rFonts w:ascii="標楷體" w:eastAsia="標楷體" w:hAnsi="標楷體" w:hint="eastAsia"/>
              </w:rPr>
              <w:t>核准募集發行銷售之受益權單位總數：</w:t>
            </w:r>
          </w:p>
        </w:tc>
      </w:tr>
      <w:tr w:rsidR="00B52968" w:rsidRPr="00B449F2" w:rsidTr="008C1F1C">
        <w:tblPrEx>
          <w:tblCellMar>
            <w:top w:w="0" w:type="dxa"/>
            <w:bottom w:w="0" w:type="dxa"/>
          </w:tblCellMar>
        </w:tblPrEx>
        <w:trPr>
          <w:cantSplit/>
          <w:trHeight w:val="326"/>
        </w:trPr>
        <w:tc>
          <w:tcPr>
            <w:tcW w:w="5000" w:type="pct"/>
            <w:gridSpan w:val="6"/>
            <w:tcBorders>
              <w:bottom w:val="single" w:sz="4" w:space="0" w:color="auto"/>
            </w:tcBorders>
            <w:vAlign w:val="center"/>
          </w:tcPr>
          <w:p w:rsidR="00B52968" w:rsidRPr="00B449F2" w:rsidRDefault="00B52968" w:rsidP="008C1F1C">
            <w:pPr>
              <w:spacing w:beforeLines="50" w:before="180" w:afterLines="50" w:after="180"/>
              <w:rPr>
                <w:rFonts w:ascii="標楷體" w:eastAsia="標楷體" w:hAnsi="標楷體" w:hint="eastAsia"/>
              </w:rPr>
            </w:pPr>
            <w:r w:rsidRPr="00B449F2">
              <w:rPr>
                <w:rFonts w:ascii="標楷體" w:eastAsia="標楷體" w:hAnsi="標楷體" w:hint="eastAsia"/>
              </w:rPr>
              <w:t>應募足之最低淨發行總面額：</w:t>
            </w:r>
          </w:p>
        </w:tc>
      </w:tr>
      <w:tr w:rsidR="00B52968" w:rsidRPr="00B449F2" w:rsidTr="008C1F1C">
        <w:tblPrEx>
          <w:tblCellMar>
            <w:top w:w="0" w:type="dxa"/>
            <w:bottom w:w="0" w:type="dxa"/>
          </w:tblCellMar>
        </w:tblPrEx>
        <w:trPr>
          <w:cantSplit/>
          <w:trHeight w:val="326"/>
        </w:trPr>
        <w:tc>
          <w:tcPr>
            <w:tcW w:w="5000" w:type="pct"/>
            <w:gridSpan w:val="6"/>
            <w:tcBorders>
              <w:bottom w:val="single" w:sz="4" w:space="0" w:color="auto"/>
            </w:tcBorders>
            <w:vAlign w:val="center"/>
          </w:tcPr>
          <w:p w:rsidR="00B52968" w:rsidRPr="00B449F2" w:rsidRDefault="00B52968" w:rsidP="008C1F1C">
            <w:pPr>
              <w:spacing w:beforeLines="50" w:before="180" w:afterLines="50" w:after="180"/>
              <w:rPr>
                <w:rFonts w:ascii="標楷體" w:eastAsia="標楷體" w:hAnsi="標楷體" w:hint="eastAsia"/>
              </w:rPr>
            </w:pPr>
            <w:r w:rsidRPr="00B449F2">
              <w:rPr>
                <w:rFonts w:ascii="標楷體" w:eastAsia="標楷體" w:hAnsi="標楷體" w:hint="eastAsia"/>
              </w:rPr>
              <w:t xml:space="preserve">募集期間：（自開始募集日    年    月    日 　　</w:t>
            </w:r>
            <w:proofErr w:type="gramStart"/>
            <w:r w:rsidRPr="00B449F2">
              <w:rPr>
                <w:rFonts w:ascii="標楷體" w:eastAsia="標楷體" w:hAnsi="標楷體" w:hint="eastAsia"/>
              </w:rPr>
              <w:t>迄</w:t>
            </w:r>
            <w:proofErr w:type="gramEnd"/>
            <w:r w:rsidRPr="00B449F2">
              <w:rPr>
                <w:rFonts w:ascii="標楷體" w:eastAsia="標楷體" w:hAnsi="標楷體" w:hint="eastAsia"/>
              </w:rPr>
              <w:t xml:space="preserve">　　 年　　　月　　　日　）</w:t>
            </w:r>
          </w:p>
        </w:tc>
      </w:tr>
      <w:tr w:rsidR="00B52968" w:rsidRPr="00B449F2" w:rsidTr="008C1F1C">
        <w:tblPrEx>
          <w:tblCellMar>
            <w:top w:w="0" w:type="dxa"/>
            <w:bottom w:w="0" w:type="dxa"/>
          </w:tblCellMar>
        </w:tblPrEx>
        <w:trPr>
          <w:trHeight w:val="2224"/>
        </w:trPr>
        <w:tc>
          <w:tcPr>
            <w:tcW w:w="790" w:type="pct"/>
            <w:vAlign w:val="center"/>
          </w:tcPr>
          <w:p w:rsidR="00B52968" w:rsidRPr="00B449F2" w:rsidRDefault="00B52968" w:rsidP="008C1F1C">
            <w:pPr>
              <w:snapToGrid w:val="0"/>
              <w:jc w:val="center"/>
              <w:rPr>
                <w:rFonts w:ascii="標楷體" w:eastAsia="標楷體" w:hAnsi="標楷體" w:hint="eastAsia"/>
              </w:rPr>
            </w:pPr>
            <w:r w:rsidRPr="00B449F2">
              <w:rPr>
                <w:rFonts w:ascii="標楷體" w:eastAsia="標楷體" w:hAnsi="標楷體" w:hint="eastAsia"/>
              </w:rPr>
              <w:t>附件</w:t>
            </w:r>
          </w:p>
        </w:tc>
        <w:tc>
          <w:tcPr>
            <w:tcW w:w="4210" w:type="pct"/>
            <w:gridSpan w:val="5"/>
            <w:vAlign w:val="center"/>
          </w:tcPr>
          <w:p w:rsidR="00B52968" w:rsidRPr="00B449F2" w:rsidRDefault="00B52968" w:rsidP="00B52968">
            <w:pPr>
              <w:numPr>
                <w:ilvl w:val="0"/>
                <w:numId w:val="2"/>
              </w:numPr>
              <w:snapToGrid w:val="0"/>
              <w:jc w:val="both"/>
              <w:rPr>
                <w:rFonts w:ascii="標楷體" w:eastAsia="標楷體" w:hAnsi="標楷體" w:hint="eastAsia"/>
              </w:rPr>
            </w:pPr>
            <w:r w:rsidRPr="00B449F2">
              <w:rPr>
                <w:rFonts w:ascii="標楷體" w:eastAsia="標楷體" w:hAnsi="標楷體" w:hint="eastAsia"/>
              </w:rPr>
              <w:t xml:space="preserve">期貨信託基金委任基金銷售機構彙總表。                  </w:t>
            </w:r>
          </w:p>
          <w:p w:rsidR="00B52968" w:rsidRPr="00B449F2" w:rsidRDefault="00B52968" w:rsidP="00B52968">
            <w:pPr>
              <w:numPr>
                <w:ilvl w:val="0"/>
                <w:numId w:val="2"/>
              </w:numPr>
              <w:snapToGrid w:val="0"/>
              <w:jc w:val="both"/>
              <w:rPr>
                <w:rFonts w:ascii="標楷體" w:eastAsia="標楷體" w:hAnsi="標楷體" w:hint="eastAsia"/>
              </w:rPr>
            </w:pPr>
            <w:r w:rsidRPr="00B449F2">
              <w:rPr>
                <w:rFonts w:ascii="標楷體" w:eastAsia="標楷體" w:hAnsi="標楷體" w:hint="eastAsia"/>
              </w:rPr>
              <w:t xml:space="preserve">募集公告稿。                            </w:t>
            </w:r>
          </w:p>
          <w:p w:rsidR="00B52968" w:rsidRPr="00B449F2" w:rsidRDefault="00B52968" w:rsidP="00B52968">
            <w:pPr>
              <w:numPr>
                <w:ilvl w:val="0"/>
                <w:numId w:val="2"/>
              </w:numPr>
              <w:snapToGrid w:val="0"/>
              <w:jc w:val="both"/>
              <w:rPr>
                <w:rFonts w:ascii="標楷體" w:eastAsia="標楷體" w:hAnsi="標楷體" w:hint="eastAsia"/>
              </w:rPr>
            </w:pPr>
            <w:r w:rsidRPr="00B449F2">
              <w:rPr>
                <w:rFonts w:ascii="標楷體" w:eastAsia="標楷體" w:hAnsi="標楷體" w:hint="eastAsia"/>
              </w:rPr>
              <w:t xml:space="preserve">修正後公開說明書稿本（申請日或開始募集之前一個月之公開說明書）。    </w:t>
            </w:r>
          </w:p>
          <w:p w:rsidR="00B52968" w:rsidRPr="00B449F2" w:rsidRDefault="00B52968" w:rsidP="00B52968">
            <w:pPr>
              <w:numPr>
                <w:ilvl w:val="0"/>
                <w:numId w:val="2"/>
              </w:numPr>
              <w:snapToGrid w:val="0"/>
              <w:jc w:val="both"/>
              <w:rPr>
                <w:rFonts w:ascii="標楷體" w:eastAsia="標楷體" w:hAnsi="標楷體" w:hint="eastAsia"/>
              </w:rPr>
            </w:pPr>
            <w:r w:rsidRPr="00B449F2">
              <w:rPr>
                <w:rFonts w:ascii="標楷體" w:eastAsia="標楷體" w:hAnsi="標楷體" w:hint="eastAsia"/>
              </w:rPr>
              <w:t xml:space="preserve">金管會募集同意函影本。    </w:t>
            </w:r>
          </w:p>
          <w:p w:rsidR="00B52968" w:rsidRPr="00B449F2" w:rsidRDefault="00B52968" w:rsidP="00B52968">
            <w:pPr>
              <w:numPr>
                <w:ilvl w:val="0"/>
                <w:numId w:val="2"/>
              </w:numPr>
              <w:snapToGrid w:val="0"/>
              <w:jc w:val="both"/>
              <w:rPr>
                <w:rFonts w:ascii="標楷體" w:eastAsia="標楷體" w:hAnsi="標楷體" w:hint="eastAsia"/>
              </w:rPr>
            </w:pPr>
            <w:r w:rsidRPr="00B449F2">
              <w:rPr>
                <w:rFonts w:ascii="標楷體" w:eastAsia="標楷體" w:hAnsi="標楷體" w:hint="eastAsia"/>
              </w:rPr>
              <w:t xml:space="preserve">其他依規定應檢具之文件。    </w:t>
            </w:r>
          </w:p>
          <w:p w:rsidR="00B52968" w:rsidRPr="00B449F2" w:rsidRDefault="00B52968" w:rsidP="008C1F1C">
            <w:pPr>
              <w:snapToGrid w:val="0"/>
              <w:jc w:val="both"/>
              <w:rPr>
                <w:rFonts w:ascii="標楷體" w:eastAsia="標楷體" w:hAnsi="標楷體" w:hint="eastAsia"/>
              </w:rPr>
            </w:pPr>
            <w:r w:rsidRPr="00B449F2">
              <w:rPr>
                <w:rFonts w:ascii="標楷體" w:eastAsia="標楷體" w:hAnsi="標楷體" w:hint="eastAsia"/>
              </w:rPr>
              <w:t xml:space="preserve">                                                                          </w:t>
            </w:r>
          </w:p>
        </w:tc>
      </w:tr>
      <w:tr w:rsidR="00B52968" w:rsidRPr="00B449F2" w:rsidTr="008C1F1C">
        <w:tblPrEx>
          <w:tblCellMar>
            <w:top w:w="0" w:type="dxa"/>
            <w:bottom w:w="0" w:type="dxa"/>
          </w:tblCellMar>
        </w:tblPrEx>
        <w:trPr>
          <w:trHeight w:val="1038"/>
        </w:trPr>
        <w:tc>
          <w:tcPr>
            <w:tcW w:w="5000" w:type="pct"/>
            <w:gridSpan w:val="6"/>
            <w:tcBorders>
              <w:bottom w:val="single" w:sz="4" w:space="0" w:color="auto"/>
            </w:tcBorders>
          </w:tcPr>
          <w:p w:rsidR="00B52968" w:rsidRPr="00B449F2" w:rsidRDefault="00B52968" w:rsidP="008C1F1C">
            <w:pPr>
              <w:snapToGrid w:val="0"/>
              <w:spacing w:line="0" w:lineRule="atLeast"/>
              <w:rPr>
                <w:rFonts w:ascii="標楷體" w:eastAsia="標楷體" w:hAnsi="標楷體" w:hint="eastAsia"/>
              </w:rPr>
            </w:pPr>
            <w:r w:rsidRPr="00B449F2">
              <w:rPr>
                <w:rFonts w:ascii="標楷體" w:eastAsia="標楷體" w:hAnsi="標楷體" w:hint="eastAsia"/>
              </w:rPr>
              <w:t>申報人：○○○      期貨信託股份有限公司</w:t>
            </w:r>
          </w:p>
          <w:p w:rsidR="00B52968" w:rsidRPr="00B449F2" w:rsidRDefault="00B52968" w:rsidP="008C1F1C">
            <w:pPr>
              <w:snapToGrid w:val="0"/>
              <w:spacing w:line="0" w:lineRule="atLeast"/>
              <w:rPr>
                <w:rFonts w:ascii="標楷體" w:eastAsia="標楷體" w:hAnsi="標楷體" w:hint="eastAsia"/>
              </w:rPr>
            </w:pPr>
            <w:r w:rsidRPr="00B449F2">
              <w:rPr>
                <w:rFonts w:ascii="標楷體" w:eastAsia="標楷體" w:hAnsi="標楷體" w:hint="eastAsia"/>
              </w:rPr>
              <w:t>負責人：</w:t>
            </w:r>
          </w:p>
          <w:p w:rsidR="00B52968" w:rsidRPr="00B449F2" w:rsidRDefault="00B52968" w:rsidP="008C1F1C">
            <w:pPr>
              <w:snapToGrid w:val="0"/>
              <w:spacing w:line="0" w:lineRule="atLeast"/>
              <w:rPr>
                <w:rFonts w:ascii="標楷體" w:eastAsia="標楷體" w:hAnsi="標楷體" w:hint="eastAsia"/>
              </w:rPr>
            </w:pPr>
            <w:r w:rsidRPr="00B449F2">
              <w:rPr>
                <w:rFonts w:ascii="標楷體" w:eastAsia="標楷體" w:hAnsi="標楷體" w:hint="eastAsia"/>
              </w:rPr>
              <w:t>地  址：</w:t>
            </w:r>
          </w:p>
          <w:p w:rsidR="00B52968" w:rsidRPr="00B449F2" w:rsidRDefault="00B52968" w:rsidP="008C1F1C">
            <w:pPr>
              <w:snapToGrid w:val="0"/>
              <w:spacing w:line="0" w:lineRule="atLeast"/>
              <w:rPr>
                <w:rFonts w:ascii="標楷體" w:eastAsia="標楷體" w:hAnsi="標楷體" w:hint="eastAsia"/>
              </w:rPr>
            </w:pPr>
            <w:r w:rsidRPr="00B449F2">
              <w:rPr>
                <w:rFonts w:ascii="標楷體" w:eastAsia="標楷體" w:hAnsi="標楷體" w:hint="eastAsia"/>
              </w:rPr>
              <w:t>聯絡人及電話：</w:t>
            </w:r>
          </w:p>
          <w:p w:rsidR="00B52968" w:rsidRPr="00B449F2" w:rsidRDefault="00B52968" w:rsidP="008C1F1C">
            <w:pPr>
              <w:snapToGrid w:val="0"/>
              <w:spacing w:line="0" w:lineRule="atLeast"/>
              <w:rPr>
                <w:rFonts w:ascii="標楷體" w:eastAsia="標楷體" w:hAnsi="標楷體" w:hint="eastAsia"/>
              </w:rPr>
            </w:pPr>
          </w:p>
        </w:tc>
      </w:tr>
    </w:tbl>
    <w:p w:rsidR="00B52968" w:rsidRPr="00B449F2" w:rsidRDefault="00B52968" w:rsidP="00B52968">
      <w:pPr>
        <w:snapToGrid w:val="0"/>
        <w:spacing w:beforeLines="50" w:before="180" w:line="240" w:lineRule="atLeast"/>
        <w:ind w:left="900" w:hangingChars="375" w:hanging="900"/>
        <w:rPr>
          <w:rFonts w:ascii="標楷體" w:eastAsia="標楷體" w:hAnsi="標楷體" w:hint="eastAsia"/>
        </w:rPr>
      </w:pPr>
      <w:r w:rsidRPr="00B449F2">
        <w:rPr>
          <w:rFonts w:ascii="標楷體" w:eastAsia="標楷體" w:hAnsi="標楷體" w:hint="eastAsia"/>
        </w:rPr>
        <w:t xml:space="preserve">附 </w:t>
      </w:r>
      <w:proofErr w:type="gramStart"/>
      <w:r w:rsidRPr="00B449F2">
        <w:rPr>
          <w:rFonts w:ascii="標楷體" w:eastAsia="標楷體" w:hAnsi="標楷體" w:hint="eastAsia"/>
        </w:rPr>
        <w:t>註</w:t>
      </w:r>
      <w:proofErr w:type="gramEnd"/>
      <w:r w:rsidRPr="00B449F2">
        <w:rPr>
          <w:rFonts w:ascii="標楷體" w:eastAsia="標楷體" w:hAnsi="標楷體" w:hint="eastAsia"/>
        </w:rPr>
        <w:t>：本申報書暨附件應以長二十九．七公分、寬二十一公分用紙( 即影印用紙A4 )印製、裝訂成冊，並於封面註明申報書件之字樣、及期貨信託事業名稱、地址、電話。</w:t>
      </w:r>
    </w:p>
    <w:p w:rsidR="00B52968" w:rsidRPr="00B449F2" w:rsidRDefault="00B52968" w:rsidP="00B52968">
      <w:pPr>
        <w:snapToGrid w:val="0"/>
        <w:spacing w:beforeLines="50" w:before="180" w:line="240" w:lineRule="atLeast"/>
        <w:ind w:left="900" w:hangingChars="375" w:hanging="900"/>
        <w:rPr>
          <w:rFonts w:ascii="標楷體" w:eastAsia="標楷體" w:hAnsi="標楷體" w:hint="eastAsia"/>
        </w:rPr>
      </w:pPr>
    </w:p>
    <w:p w:rsidR="00B52968" w:rsidRPr="00B449F2" w:rsidRDefault="00B52968" w:rsidP="00B52968">
      <w:pPr>
        <w:pStyle w:val="a8"/>
        <w:snapToGrid w:val="0"/>
        <w:spacing w:line="240" w:lineRule="atLeast"/>
        <w:ind w:left="1739" w:hanging="1259"/>
        <w:jc w:val="both"/>
        <w:rPr>
          <w:rFonts w:ascii="標楷體" w:eastAsia="標楷體" w:hAnsi="標楷體" w:hint="eastAsia"/>
          <w:b/>
          <w:bCs/>
          <w:sz w:val="28"/>
        </w:rPr>
      </w:pPr>
      <w:r w:rsidRPr="00B449F2">
        <w:rPr>
          <w:rFonts w:ascii="標楷體" w:eastAsia="標楷體" w:hAnsi="標楷體" w:hint="eastAsia"/>
          <w:b/>
          <w:bCs/>
          <w:sz w:val="28"/>
        </w:rPr>
        <w:lastRenderedPageBreak/>
        <w:t>（附表二）</w:t>
      </w:r>
    </w:p>
    <w:p w:rsidR="00B52968" w:rsidRPr="00B449F2" w:rsidRDefault="00B52968" w:rsidP="00B52968">
      <w:pPr>
        <w:snapToGrid w:val="0"/>
        <w:spacing w:line="240" w:lineRule="atLeast"/>
        <w:rPr>
          <w:rFonts w:ascii="標楷體" w:eastAsia="標楷體" w:hAnsi="標楷體" w:hint="eastAsia"/>
          <w:sz w:val="28"/>
        </w:rPr>
      </w:pPr>
    </w:p>
    <w:p w:rsidR="00B52968" w:rsidRPr="00B449F2" w:rsidRDefault="00B52968" w:rsidP="00B52968">
      <w:pPr>
        <w:snapToGrid w:val="0"/>
        <w:spacing w:line="240" w:lineRule="atLeast"/>
        <w:rPr>
          <w:rFonts w:ascii="標楷體" w:eastAsia="標楷體" w:hAnsi="標楷體" w:hint="eastAsia"/>
          <w:sz w:val="28"/>
        </w:rPr>
      </w:pPr>
    </w:p>
    <w:p w:rsidR="00B52968" w:rsidRPr="00B449F2" w:rsidRDefault="00B52968" w:rsidP="00B52968">
      <w:pPr>
        <w:snapToGrid w:val="0"/>
        <w:spacing w:line="240" w:lineRule="atLeast"/>
        <w:jc w:val="center"/>
        <w:rPr>
          <w:rFonts w:ascii="標楷體" w:eastAsia="標楷體" w:hAnsi="標楷體" w:hint="eastAsia"/>
          <w:b/>
          <w:bCs/>
          <w:sz w:val="28"/>
        </w:rPr>
      </w:pPr>
      <w:r w:rsidRPr="00B449F2">
        <w:rPr>
          <w:rFonts w:ascii="標楷體" w:eastAsia="標楷體" w:hAnsi="標楷體" w:hint="eastAsia"/>
          <w:b/>
          <w:bCs/>
          <w:sz w:val="28"/>
        </w:rPr>
        <w:t xml:space="preserve"> 期貨信託基金委任基金銷售機構彙總表</w:t>
      </w:r>
    </w:p>
    <w:p w:rsidR="00B52968" w:rsidRPr="00B449F2" w:rsidRDefault="00B52968" w:rsidP="00B52968">
      <w:pPr>
        <w:snapToGrid w:val="0"/>
        <w:spacing w:line="240" w:lineRule="atLeast"/>
        <w:jc w:val="center"/>
        <w:rPr>
          <w:rFonts w:ascii="標楷體" w:eastAsia="標楷體" w:hAnsi="標楷體" w:hint="eastAsia"/>
          <w:b/>
          <w:bCs/>
        </w:rPr>
      </w:pPr>
    </w:p>
    <w:p w:rsidR="00B52968" w:rsidRPr="00B449F2" w:rsidRDefault="00B52968" w:rsidP="00B52968">
      <w:pPr>
        <w:snapToGrid w:val="0"/>
        <w:spacing w:line="240" w:lineRule="atLeast"/>
        <w:jc w:val="center"/>
        <w:rPr>
          <w:rFonts w:ascii="標楷體" w:eastAsia="標楷體" w:hAnsi="標楷體" w:hint="eastAsia"/>
          <w:b/>
          <w:bCs/>
        </w:rPr>
      </w:pPr>
    </w:p>
    <w:p w:rsidR="00B52968" w:rsidRPr="00B449F2" w:rsidRDefault="00B52968" w:rsidP="00B52968">
      <w:pPr>
        <w:snapToGrid w:val="0"/>
        <w:spacing w:line="240" w:lineRule="atLeast"/>
        <w:jc w:val="both"/>
        <w:rPr>
          <w:rFonts w:ascii="標楷體" w:eastAsia="標楷體" w:hAnsi="標楷體" w:hint="eastAsia"/>
        </w:rPr>
      </w:pPr>
      <w:r w:rsidRPr="00B449F2">
        <w:rPr>
          <w:rFonts w:ascii="標楷體" w:eastAsia="標楷體" w:hAnsi="標楷體" w:hint="eastAsia"/>
        </w:rPr>
        <w:t>受益憑證發行公司：            期貨信託股份有限公司</w:t>
      </w:r>
    </w:p>
    <w:p w:rsidR="00B52968" w:rsidRPr="00B449F2" w:rsidRDefault="00B52968" w:rsidP="00B52968">
      <w:pPr>
        <w:snapToGrid w:val="0"/>
        <w:spacing w:beforeLines="50" w:before="180" w:line="240" w:lineRule="atLeast"/>
        <w:jc w:val="both"/>
        <w:rPr>
          <w:rFonts w:ascii="標楷體" w:eastAsia="標楷體" w:hAnsi="標楷體" w:hint="eastAsia"/>
        </w:rPr>
      </w:pPr>
      <w:r w:rsidRPr="00B449F2">
        <w:rPr>
          <w:rFonts w:ascii="標楷體" w:eastAsia="標楷體" w:hAnsi="標楷體" w:hint="eastAsia"/>
        </w:rPr>
        <w:t>銷售之受益憑證：              期貨信託基金</w:t>
      </w:r>
    </w:p>
    <w:p w:rsidR="00B52968" w:rsidRPr="00B449F2" w:rsidRDefault="00B52968" w:rsidP="00B52968">
      <w:pPr>
        <w:snapToGrid w:val="0"/>
        <w:spacing w:beforeLines="50" w:before="180" w:line="240" w:lineRule="atLeast"/>
        <w:jc w:val="both"/>
        <w:rPr>
          <w:rFonts w:ascii="標楷體" w:eastAsia="標楷體" w:hAnsi="標楷體" w:hint="eastAsia"/>
        </w:rPr>
      </w:pPr>
      <w:r w:rsidRPr="00B449F2">
        <w:rPr>
          <w:rFonts w:ascii="標楷體" w:eastAsia="標楷體" w:hAnsi="標楷體" w:hint="eastAsia"/>
        </w:rPr>
        <w:t xml:space="preserve">核准銷售受益憑證單位總數：               　　          </w:t>
      </w:r>
    </w:p>
    <w:p w:rsidR="00B52968" w:rsidRPr="00B449F2" w:rsidRDefault="00B52968" w:rsidP="00B52968">
      <w:pPr>
        <w:snapToGrid w:val="0"/>
        <w:spacing w:line="240" w:lineRule="atLeast"/>
        <w:jc w:val="both"/>
        <w:rPr>
          <w:rFonts w:ascii="標楷體" w:eastAsia="標楷體" w:hAnsi="標楷體" w:hint="eastAsia"/>
        </w:rPr>
      </w:pPr>
    </w:p>
    <w:p w:rsidR="00B52968" w:rsidRPr="00B449F2" w:rsidRDefault="00B52968" w:rsidP="00B52968">
      <w:pPr>
        <w:snapToGrid w:val="0"/>
        <w:spacing w:line="240" w:lineRule="atLeast"/>
        <w:jc w:val="both"/>
        <w:rPr>
          <w:rFonts w:ascii="標楷體" w:eastAsia="標楷體" w:hAnsi="標楷體" w:hint="eastAsia"/>
        </w:rPr>
      </w:pPr>
      <w:r w:rsidRPr="00B449F2">
        <w:rPr>
          <w:rFonts w:ascii="標楷體" w:eastAsia="標楷體" w:hAnsi="標楷體" w:hint="eastAsia"/>
        </w:rPr>
        <w:t xml:space="preserve">配予基金銷售機構銷售之受益憑證單位總數：　　  　　　　　　　</w:t>
      </w:r>
    </w:p>
    <w:p w:rsidR="00B52968" w:rsidRPr="00B449F2" w:rsidRDefault="00B52968" w:rsidP="00B52968">
      <w:pPr>
        <w:snapToGrid w:val="0"/>
        <w:spacing w:beforeLines="50" w:before="180" w:line="240" w:lineRule="atLeast"/>
        <w:jc w:val="both"/>
        <w:rPr>
          <w:rFonts w:ascii="標楷體" w:eastAsia="標楷體" w:hAnsi="標楷體" w:hint="eastAsia"/>
        </w:rPr>
      </w:pP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88"/>
        <w:gridCol w:w="1080"/>
        <w:gridCol w:w="4500"/>
        <w:gridCol w:w="1980"/>
      </w:tblGrid>
      <w:tr w:rsidR="00B52968" w:rsidRPr="00B449F2" w:rsidTr="008C1F1C">
        <w:tblPrEx>
          <w:tblCellMar>
            <w:top w:w="0" w:type="dxa"/>
            <w:bottom w:w="0" w:type="dxa"/>
          </w:tblCellMar>
        </w:tblPrEx>
        <w:tc>
          <w:tcPr>
            <w:tcW w:w="2188" w:type="dxa"/>
            <w:tcBorders>
              <w:bottom w:val="single" w:sz="12" w:space="0" w:color="auto"/>
            </w:tcBorders>
            <w:vAlign w:val="center"/>
          </w:tcPr>
          <w:p w:rsidR="00B52968" w:rsidRPr="00B449F2" w:rsidRDefault="00B52968" w:rsidP="008C1F1C">
            <w:pPr>
              <w:snapToGrid w:val="0"/>
              <w:spacing w:beforeLines="50" w:before="180" w:line="240" w:lineRule="atLeast"/>
              <w:jc w:val="center"/>
              <w:rPr>
                <w:rFonts w:ascii="標楷體" w:eastAsia="標楷體" w:hAnsi="標楷體" w:hint="eastAsia"/>
                <w:b/>
                <w:bCs/>
              </w:rPr>
            </w:pPr>
            <w:r w:rsidRPr="00B449F2">
              <w:rPr>
                <w:rFonts w:ascii="標楷體" w:eastAsia="標楷體" w:hAnsi="標楷體" w:hint="eastAsia"/>
                <w:b/>
                <w:bCs/>
              </w:rPr>
              <w:t>基金銷售機構總行</w:t>
            </w:r>
          </w:p>
          <w:p w:rsidR="00B52968" w:rsidRPr="00B449F2" w:rsidRDefault="00B52968" w:rsidP="008C1F1C">
            <w:pPr>
              <w:snapToGrid w:val="0"/>
              <w:spacing w:afterLines="50" w:after="180" w:line="240" w:lineRule="atLeast"/>
              <w:jc w:val="center"/>
              <w:rPr>
                <w:rFonts w:ascii="標楷體" w:eastAsia="標楷體" w:hAnsi="標楷體" w:hint="eastAsia"/>
                <w:b/>
                <w:bCs/>
              </w:rPr>
            </w:pPr>
            <w:r w:rsidRPr="00B449F2">
              <w:rPr>
                <w:rFonts w:ascii="標楷體" w:eastAsia="標楷體" w:hAnsi="標楷體" w:hint="eastAsia"/>
                <w:b/>
                <w:bCs/>
              </w:rPr>
              <w:t>或總公司名稱</w:t>
            </w:r>
          </w:p>
        </w:tc>
        <w:tc>
          <w:tcPr>
            <w:tcW w:w="1080" w:type="dxa"/>
            <w:tcBorders>
              <w:bottom w:val="single" w:sz="12" w:space="0" w:color="auto"/>
            </w:tcBorders>
            <w:vAlign w:val="center"/>
          </w:tcPr>
          <w:p w:rsidR="00B52968" w:rsidRPr="00B449F2" w:rsidRDefault="00B52968" w:rsidP="008C1F1C">
            <w:pPr>
              <w:snapToGrid w:val="0"/>
              <w:spacing w:beforeLines="50" w:before="180" w:line="240" w:lineRule="atLeast"/>
              <w:jc w:val="center"/>
              <w:rPr>
                <w:rFonts w:ascii="標楷體" w:eastAsia="標楷體" w:hAnsi="標楷體" w:hint="eastAsia"/>
                <w:b/>
                <w:bCs/>
              </w:rPr>
            </w:pPr>
            <w:r w:rsidRPr="00B449F2">
              <w:rPr>
                <w:rFonts w:ascii="標楷體" w:eastAsia="標楷體" w:hAnsi="標楷體" w:hint="eastAsia"/>
                <w:b/>
                <w:bCs/>
              </w:rPr>
              <w:t>負責人</w:t>
            </w:r>
          </w:p>
        </w:tc>
        <w:tc>
          <w:tcPr>
            <w:tcW w:w="4500" w:type="dxa"/>
            <w:tcBorders>
              <w:bottom w:val="single" w:sz="12" w:space="0" w:color="auto"/>
            </w:tcBorders>
            <w:vAlign w:val="center"/>
          </w:tcPr>
          <w:p w:rsidR="00B52968" w:rsidRPr="00B449F2" w:rsidRDefault="00B52968" w:rsidP="008C1F1C">
            <w:pPr>
              <w:snapToGrid w:val="0"/>
              <w:spacing w:beforeLines="50" w:before="180" w:line="240" w:lineRule="atLeast"/>
              <w:jc w:val="center"/>
              <w:rPr>
                <w:rFonts w:ascii="標楷體" w:eastAsia="標楷體" w:hAnsi="標楷體" w:hint="eastAsia"/>
                <w:b/>
                <w:bCs/>
              </w:rPr>
            </w:pPr>
            <w:r w:rsidRPr="00B449F2">
              <w:rPr>
                <w:rFonts w:ascii="標楷體" w:eastAsia="標楷體" w:hAnsi="標楷體" w:hint="eastAsia"/>
                <w:b/>
                <w:bCs/>
              </w:rPr>
              <w:t>地   址</w:t>
            </w:r>
          </w:p>
        </w:tc>
        <w:tc>
          <w:tcPr>
            <w:tcW w:w="1980" w:type="dxa"/>
            <w:tcBorders>
              <w:bottom w:val="single" w:sz="12" w:space="0" w:color="auto"/>
            </w:tcBorders>
            <w:vAlign w:val="center"/>
          </w:tcPr>
          <w:p w:rsidR="00B52968" w:rsidRPr="00B449F2" w:rsidRDefault="00B52968" w:rsidP="008C1F1C">
            <w:pPr>
              <w:snapToGrid w:val="0"/>
              <w:spacing w:beforeLines="50" w:before="180" w:line="240" w:lineRule="atLeast"/>
              <w:jc w:val="center"/>
              <w:rPr>
                <w:rFonts w:ascii="標楷體" w:eastAsia="標楷體" w:hAnsi="標楷體" w:hint="eastAsia"/>
                <w:b/>
                <w:bCs/>
              </w:rPr>
            </w:pPr>
            <w:r w:rsidRPr="00B449F2">
              <w:rPr>
                <w:rFonts w:ascii="標楷體" w:eastAsia="標楷體" w:hAnsi="標楷體" w:hint="eastAsia"/>
                <w:b/>
                <w:bCs/>
              </w:rPr>
              <w:t>得銷售之受益</w:t>
            </w:r>
          </w:p>
          <w:p w:rsidR="00B52968" w:rsidRPr="00B449F2" w:rsidRDefault="00B52968" w:rsidP="008C1F1C">
            <w:pPr>
              <w:snapToGrid w:val="0"/>
              <w:spacing w:afterLines="50" w:after="180" w:line="240" w:lineRule="atLeast"/>
              <w:jc w:val="center"/>
              <w:rPr>
                <w:rFonts w:ascii="標楷體" w:eastAsia="標楷體" w:hAnsi="標楷體" w:hint="eastAsia"/>
                <w:b/>
                <w:bCs/>
              </w:rPr>
            </w:pPr>
            <w:r w:rsidRPr="00B449F2">
              <w:rPr>
                <w:rFonts w:ascii="標楷體" w:eastAsia="標楷體" w:hAnsi="標楷體" w:hint="eastAsia"/>
                <w:b/>
                <w:bCs/>
              </w:rPr>
              <w:t>憑證單位數量</w:t>
            </w:r>
          </w:p>
        </w:tc>
      </w:tr>
      <w:tr w:rsidR="00B52968" w:rsidRPr="00B449F2" w:rsidTr="008C1F1C">
        <w:tblPrEx>
          <w:tblCellMar>
            <w:top w:w="0" w:type="dxa"/>
            <w:bottom w:w="0" w:type="dxa"/>
          </w:tblCellMar>
        </w:tblPrEx>
        <w:tc>
          <w:tcPr>
            <w:tcW w:w="2188" w:type="dxa"/>
            <w:tcBorders>
              <w:top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1080" w:type="dxa"/>
            <w:tcBorders>
              <w:top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4500" w:type="dxa"/>
            <w:tcBorders>
              <w:top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1980" w:type="dxa"/>
            <w:tcBorders>
              <w:top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r>
      <w:tr w:rsidR="00B52968" w:rsidRPr="00B449F2" w:rsidTr="008C1F1C">
        <w:tblPrEx>
          <w:tblCellMar>
            <w:top w:w="0" w:type="dxa"/>
            <w:bottom w:w="0" w:type="dxa"/>
          </w:tblCellMar>
        </w:tblPrEx>
        <w:tc>
          <w:tcPr>
            <w:tcW w:w="2188"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1080"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4500"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1980"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r>
      <w:tr w:rsidR="00B52968" w:rsidRPr="00B449F2" w:rsidTr="008C1F1C">
        <w:tblPrEx>
          <w:tblCellMar>
            <w:top w:w="0" w:type="dxa"/>
            <w:bottom w:w="0" w:type="dxa"/>
          </w:tblCellMar>
        </w:tblPrEx>
        <w:tc>
          <w:tcPr>
            <w:tcW w:w="2188"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1080"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4500"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1980"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r>
      <w:tr w:rsidR="00B52968" w:rsidRPr="00B449F2" w:rsidTr="008C1F1C">
        <w:tblPrEx>
          <w:tblCellMar>
            <w:top w:w="0" w:type="dxa"/>
            <w:bottom w:w="0" w:type="dxa"/>
          </w:tblCellMar>
        </w:tblPrEx>
        <w:tc>
          <w:tcPr>
            <w:tcW w:w="2188"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1080"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4500"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1980"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r>
      <w:tr w:rsidR="00B52968" w:rsidRPr="00B449F2" w:rsidTr="008C1F1C">
        <w:tblPrEx>
          <w:tblCellMar>
            <w:top w:w="0" w:type="dxa"/>
            <w:bottom w:w="0" w:type="dxa"/>
          </w:tblCellMar>
        </w:tblPrEx>
        <w:tc>
          <w:tcPr>
            <w:tcW w:w="2188"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1080"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4500"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1980"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r>
      <w:tr w:rsidR="00B52968" w:rsidRPr="00B449F2" w:rsidTr="008C1F1C">
        <w:tblPrEx>
          <w:tblCellMar>
            <w:top w:w="0" w:type="dxa"/>
            <w:bottom w:w="0" w:type="dxa"/>
          </w:tblCellMar>
        </w:tblPrEx>
        <w:tc>
          <w:tcPr>
            <w:tcW w:w="2188"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1080"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4500"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1980"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r>
      <w:tr w:rsidR="00B52968" w:rsidRPr="00B449F2" w:rsidTr="008C1F1C">
        <w:tblPrEx>
          <w:tblCellMar>
            <w:top w:w="0" w:type="dxa"/>
            <w:bottom w:w="0" w:type="dxa"/>
          </w:tblCellMar>
        </w:tblPrEx>
        <w:tc>
          <w:tcPr>
            <w:tcW w:w="2188"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1080"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4500"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1980"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r>
      <w:tr w:rsidR="00B52968" w:rsidRPr="00B449F2" w:rsidTr="008C1F1C">
        <w:tblPrEx>
          <w:tblCellMar>
            <w:top w:w="0" w:type="dxa"/>
            <w:bottom w:w="0" w:type="dxa"/>
          </w:tblCellMar>
        </w:tblPrEx>
        <w:tc>
          <w:tcPr>
            <w:tcW w:w="2188"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1080"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4500"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1980" w:type="dxa"/>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r>
      <w:tr w:rsidR="00B52968" w:rsidRPr="00B449F2" w:rsidTr="008C1F1C">
        <w:tblPrEx>
          <w:tblCellMar>
            <w:top w:w="0" w:type="dxa"/>
            <w:bottom w:w="0" w:type="dxa"/>
          </w:tblCellMar>
        </w:tblPrEx>
        <w:tc>
          <w:tcPr>
            <w:tcW w:w="2188" w:type="dxa"/>
            <w:tcBorders>
              <w:bottom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1080" w:type="dxa"/>
            <w:tcBorders>
              <w:bottom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4500" w:type="dxa"/>
            <w:tcBorders>
              <w:bottom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1980" w:type="dxa"/>
            <w:tcBorders>
              <w:bottom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r>
      <w:tr w:rsidR="00B52968" w:rsidRPr="00B449F2" w:rsidTr="008C1F1C">
        <w:tblPrEx>
          <w:tblCellMar>
            <w:top w:w="0" w:type="dxa"/>
            <w:bottom w:w="0" w:type="dxa"/>
          </w:tblCellMar>
        </w:tblPrEx>
        <w:tc>
          <w:tcPr>
            <w:tcW w:w="2188" w:type="dxa"/>
            <w:tcBorders>
              <w:top w:val="single" w:sz="12" w:space="0" w:color="auto"/>
            </w:tcBorders>
          </w:tcPr>
          <w:p w:rsidR="00B52968" w:rsidRPr="00B449F2" w:rsidRDefault="00B52968" w:rsidP="008C1F1C">
            <w:pPr>
              <w:snapToGrid w:val="0"/>
              <w:spacing w:beforeLines="50" w:before="180" w:afterLines="50" w:after="180" w:line="240" w:lineRule="atLeast"/>
              <w:jc w:val="center"/>
              <w:rPr>
                <w:rFonts w:ascii="標楷體" w:eastAsia="標楷體" w:hAnsi="標楷體" w:hint="eastAsia"/>
                <w:b/>
                <w:bCs/>
                <w:sz w:val="28"/>
              </w:rPr>
            </w:pPr>
            <w:r w:rsidRPr="00B449F2">
              <w:rPr>
                <w:rFonts w:ascii="標楷體" w:eastAsia="標楷體" w:hAnsi="標楷體" w:hint="eastAsia"/>
                <w:b/>
                <w:bCs/>
                <w:sz w:val="28"/>
              </w:rPr>
              <w:t>總　計</w:t>
            </w:r>
          </w:p>
        </w:tc>
        <w:tc>
          <w:tcPr>
            <w:tcW w:w="1080" w:type="dxa"/>
            <w:tcBorders>
              <w:top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4500" w:type="dxa"/>
            <w:tcBorders>
              <w:top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c>
          <w:tcPr>
            <w:tcW w:w="1980" w:type="dxa"/>
            <w:tcBorders>
              <w:top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hint="eastAsia"/>
                <w:b/>
                <w:bCs/>
              </w:rPr>
            </w:pPr>
          </w:p>
        </w:tc>
      </w:tr>
    </w:tbl>
    <w:p w:rsidR="00B52968" w:rsidRPr="00B449F2" w:rsidRDefault="00B52968" w:rsidP="00B52968">
      <w:pPr>
        <w:jc w:val="both"/>
        <w:rPr>
          <w:rFonts w:ascii="標楷體" w:eastAsia="標楷體" w:hAnsi="標楷體" w:hint="eastAsia"/>
        </w:rPr>
      </w:pPr>
    </w:p>
    <w:p w:rsidR="00B52968" w:rsidRDefault="00B52968">
      <w:pPr>
        <w:sectPr w:rsidR="00B52968">
          <w:pgSz w:w="11906" w:h="16838"/>
          <w:pgMar w:top="1258" w:right="1133" w:bottom="899" w:left="1418" w:header="851" w:footer="992" w:gutter="0"/>
          <w:cols w:space="425"/>
          <w:docGrid w:type="lines" w:linePitch="360"/>
        </w:sectPr>
      </w:pPr>
    </w:p>
    <w:p w:rsidR="00C41429" w:rsidRPr="00C41429" w:rsidRDefault="00C41429" w:rsidP="00C41429">
      <w:pPr>
        <w:spacing w:line="480" w:lineRule="exact"/>
        <w:jc w:val="center"/>
        <w:rPr>
          <w:rFonts w:ascii="標楷體" w:eastAsia="標楷體" w:hAnsi="標楷體"/>
          <w:b/>
          <w:bCs/>
          <w:sz w:val="32"/>
          <w:szCs w:val="40"/>
        </w:rPr>
      </w:pPr>
      <w:r w:rsidRPr="00C41429">
        <w:rPr>
          <w:rFonts w:ascii="標楷體" w:eastAsia="標楷體" w:hAnsi="標楷體" w:hint="eastAsia"/>
          <w:b/>
          <w:bCs/>
          <w:sz w:val="32"/>
          <w:szCs w:val="40"/>
        </w:rPr>
        <w:lastRenderedPageBreak/>
        <w:t>期貨信託基金之募集、發行、銷售及申購買回作業程序</w:t>
      </w:r>
    </w:p>
    <w:p w:rsidR="00C41429" w:rsidRPr="00C41429" w:rsidRDefault="00C41429" w:rsidP="00C41429">
      <w:pPr>
        <w:spacing w:after="60" w:line="480" w:lineRule="exact"/>
        <w:jc w:val="center"/>
        <w:rPr>
          <w:rFonts w:ascii="標楷體" w:eastAsia="標楷體" w:hAnsi="標楷體"/>
          <w:b/>
          <w:bCs/>
          <w:sz w:val="32"/>
          <w:szCs w:val="40"/>
        </w:rPr>
      </w:pPr>
      <w:r w:rsidRPr="00C41429">
        <w:rPr>
          <w:rFonts w:ascii="標楷體" w:eastAsia="標楷體" w:hAnsi="標楷體" w:hint="eastAsia"/>
          <w:b/>
          <w:bCs/>
          <w:sz w:val="32"/>
          <w:szCs w:val="40"/>
        </w:rPr>
        <w:t>第三條、第二十一條修正條文對照表</w:t>
      </w:r>
    </w:p>
    <w:tbl>
      <w:tblPr>
        <w:tblW w:w="5078"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3562"/>
        <w:gridCol w:w="3564"/>
        <w:gridCol w:w="2778"/>
      </w:tblGrid>
      <w:tr w:rsidR="00C41429" w:rsidRPr="00C41429" w:rsidTr="008C1F1C">
        <w:trPr>
          <w:trHeight w:val="340"/>
          <w:tblHeader/>
        </w:trPr>
        <w:tc>
          <w:tcPr>
            <w:tcW w:w="1798" w:type="pct"/>
            <w:vAlign w:val="center"/>
          </w:tcPr>
          <w:p w:rsidR="00C41429" w:rsidRPr="00C41429" w:rsidRDefault="00C41429" w:rsidP="00C414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eastAsia="標楷體" w:hAnsi="標楷體"/>
                <w:b/>
                <w:szCs w:val="28"/>
              </w:rPr>
            </w:pPr>
            <w:r w:rsidRPr="00C41429">
              <w:rPr>
                <w:rFonts w:ascii="標楷體" w:eastAsia="標楷體" w:hAnsi="標楷體" w:hint="eastAsia"/>
                <w:b/>
                <w:szCs w:val="28"/>
              </w:rPr>
              <w:t xml:space="preserve">修 正 條 文 </w:t>
            </w:r>
          </w:p>
        </w:tc>
        <w:tc>
          <w:tcPr>
            <w:tcW w:w="1799" w:type="pct"/>
            <w:vAlign w:val="center"/>
          </w:tcPr>
          <w:p w:rsidR="00C41429" w:rsidRPr="00C41429" w:rsidRDefault="00C41429" w:rsidP="00C414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eastAsia="標楷體" w:hAnsi="標楷體"/>
                <w:b/>
                <w:szCs w:val="28"/>
              </w:rPr>
            </w:pPr>
            <w:r w:rsidRPr="00C41429">
              <w:rPr>
                <w:rFonts w:ascii="標楷體" w:eastAsia="標楷體" w:hAnsi="標楷體" w:hint="eastAsia"/>
                <w:b/>
                <w:szCs w:val="28"/>
              </w:rPr>
              <w:t>現 行 條 文</w:t>
            </w:r>
          </w:p>
        </w:tc>
        <w:tc>
          <w:tcPr>
            <w:tcW w:w="1402" w:type="pct"/>
            <w:vAlign w:val="center"/>
          </w:tcPr>
          <w:p w:rsidR="00C41429" w:rsidRPr="00C41429" w:rsidRDefault="00C41429" w:rsidP="00C41429">
            <w:pPr>
              <w:snapToGrid w:val="0"/>
              <w:spacing w:beforeLines="15" w:before="54" w:afterLines="15" w:after="54"/>
              <w:jc w:val="center"/>
              <w:rPr>
                <w:rFonts w:ascii="標楷體" w:eastAsia="標楷體" w:hAnsi="標楷體"/>
                <w:b/>
                <w:szCs w:val="28"/>
              </w:rPr>
            </w:pPr>
            <w:r w:rsidRPr="00C41429">
              <w:rPr>
                <w:rFonts w:ascii="標楷體" w:eastAsia="標楷體" w:hAnsi="標楷體" w:hint="eastAsia"/>
                <w:b/>
                <w:szCs w:val="28"/>
              </w:rPr>
              <w:t>說    明</w:t>
            </w:r>
          </w:p>
        </w:tc>
      </w:tr>
      <w:tr w:rsidR="00C41429" w:rsidRPr="00C41429" w:rsidTr="008C1F1C">
        <w:trPr>
          <w:trHeight w:val="1003"/>
        </w:trPr>
        <w:tc>
          <w:tcPr>
            <w:tcW w:w="1798" w:type="pct"/>
          </w:tcPr>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kern w:val="0"/>
                <w:szCs w:val="24"/>
              </w:rPr>
            </w:pPr>
            <w:r w:rsidRPr="00C41429">
              <w:rPr>
                <w:rFonts w:ascii="標楷體" w:eastAsia="標楷體" w:hAnsi="標楷體" w:cs="細明體" w:hint="eastAsia"/>
                <w:kern w:val="0"/>
                <w:szCs w:val="24"/>
              </w:rPr>
              <w:t>第三條</w:t>
            </w:r>
          </w:p>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kern w:val="0"/>
                <w:szCs w:val="24"/>
              </w:rPr>
            </w:pPr>
            <w:r w:rsidRPr="00C41429">
              <w:rPr>
                <w:rFonts w:ascii="標楷體" w:eastAsia="標楷體" w:hAnsi="標楷體" w:cs="細明體"/>
                <w:kern w:val="0"/>
                <w:szCs w:val="24"/>
              </w:rPr>
              <w:t>期貨信託事業於國外募集期貨信託基金，除應依</w:t>
            </w:r>
            <w:r w:rsidRPr="00C41429">
              <w:rPr>
                <w:rFonts w:ascii="標楷體" w:eastAsia="標楷體" w:hAnsi="標楷體" w:cs="細明體" w:hint="eastAsia"/>
                <w:kern w:val="0"/>
                <w:szCs w:val="24"/>
              </w:rPr>
              <w:t>期貨信託基金管理辦法</w:t>
            </w:r>
            <w:r w:rsidRPr="00C41429">
              <w:rPr>
                <w:rFonts w:ascii="標楷體" w:eastAsia="標楷體" w:hAnsi="標楷體" w:cs="細明體"/>
                <w:kern w:val="0"/>
                <w:szCs w:val="24"/>
              </w:rPr>
              <w:t>有關規定向金融監督管理委員會（以下簡稱</w:t>
            </w:r>
            <w:r w:rsidRPr="00C41429">
              <w:rPr>
                <w:rFonts w:ascii="標楷體" w:eastAsia="標楷體" w:hAnsi="標楷體" w:cs="細明體" w:hint="eastAsia"/>
                <w:kern w:val="0"/>
                <w:szCs w:val="24"/>
              </w:rPr>
              <w:t>金管會</w:t>
            </w:r>
            <w:r w:rsidRPr="00C41429">
              <w:rPr>
                <w:rFonts w:ascii="標楷體" w:eastAsia="標楷體" w:hAnsi="標楷體" w:cs="細明體"/>
                <w:kern w:val="0"/>
                <w:szCs w:val="24"/>
              </w:rPr>
              <w:t>）提出申請核准外，關於基金之銷售、申購、買回或於國外證券市場之上市買賣等事宜，應依募集地國主管機關或其他有關法令之規定辦理，其追加募集亦同。</w:t>
            </w:r>
          </w:p>
        </w:tc>
        <w:tc>
          <w:tcPr>
            <w:tcW w:w="1799" w:type="pct"/>
          </w:tcPr>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kern w:val="0"/>
                <w:szCs w:val="24"/>
              </w:rPr>
            </w:pPr>
            <w:r w:rsidRPr="00C41429">
              <w:rPr>
                <w:rFonts w:ascii="標楷體" w:eastAsia="標楷體" w:hAnsi="標楷體" w:cs="細明體" w:hint="eastAsia"/>
                <w:kern w:val="0"/>
                <w:szCs w:val="24"/>
              </w:rPr>
              <w:t>第三條</w:t>
            </w:r>
          </w:p>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kern w:val="0"/>
                <w:szCs w:val="24"/>
              </w:rPr>
            </w:pPr>
            <w:r w:rsidRPr="00C41429">
              <w:rPr>
                <w:rFonts w:ascii="標楷體" w:eastAsia="標楷體" w:hAnsi="標楷體" w:cs="細明體"/>
                <w:kern w:val="0"/>
                <w:szCs w:val="24"/>
              </w:rPr>
              <w:t>期貨信託事業於國外募集期貨信託基金，除應依</w:t>
            </w:r>
            <w:r w:rsidRPr="00C41429">
              <w:rPr>
                <w:rFonts w:ascii="標楷體" w:eastAsia="標楷體" w:hAnsi="標楷體" w:cs="細明體" w:hint="eastAsia"/>
                <w:kern w:val="0"/>
                <w:szCs w:val="24"/>
              </w:rPr>
              <w:t>期貨信託基金管理辦法</w:t>
            </w:r>
            <w:r w:rsidRPr="00C41429">
              <w:rPr>
                <w:rFonts w:ascii="標楷體" w:eastAsia="標楷體" w:hAnsi="標楷體" w:cs="細明體"/>
                <w:kern w:val="0"/>
                <w:szCs w:val="24"/>
              </w:rPr>
              <w:t>有關規定向</w:t>
            </w:r>
            <w:r w:rsidRPr="00C41429">
              <w:rPr>
                <w:rFonts w:ascii="標楷體" w:eastAsia="標楷體" w:hAnsi="標楷體" w:cs="細明體"/>
                <w:kern w:val="0"/>
                <w:szCs w:val="24"/>
                <w:u w:val="single"/>
              </w:rPr>
              <w:t>行政院</w:t>
            </w:r>
            <w:r w:rsidRPr="00C41429">
              <w:rPr>
                <w:rFonts w:ascii="標楷體" w:eastAsia="標楷體" w:hAnsi="標楷體" w:cs="細明體"/>
                <w:kern w:val="0"/>
                <w:szCs w:val="24"/>
              </w:rPr>
              <w:t>金融監督管理委員會（以下簡稱</w:t>
            </w:r>
            <w:r w:rsidRPr="00C41429">
              <w:rPr>
                <w:rFonts w:ascii="標楷體" w:eastAsia="標楷體" w:hAnsi="標楷體" w:cs="細明體" w:hint="eastAsia"/>
                <w:kern w:val="0"/>
                <w:szCs w:val="24"/>
              </w:rPr>
              <w:t>金管會</w:t>
            </w:r>
            <w:r w:rsidRPr="00C41429">
              <w:rPr>
                <w:rFonts w:ascii="標楷體" w:eastAsia="標楷體" w:hAnsi="標楷體" w:cs="細明體"/>
                <w:kern w:val="0"/>
                <w:szCs w:val="24"/>
              </w:rPr>
              <w:t>）提出申請核准外，關於基金之銷售、申購、買回或於國外證券市場之上市買賣等事宜，應依募集地國主管機關或其他有關法令之規定辦理，其追加募集亦同。</w:t>
            </w:r>
          </w:p>
        </w:tc>
        <w:tc>
          <w:tcPr>
            <w:tcW w:w="1402" w:type="pct"/>
          </w:tcPr>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rPr>
            </w:pPr>
            <w:r w:rsidRPr="00C41429">
              <w:rPr>
                <w:rFonts w:ascii="標楷體" w:eastAsia="標楷體" w:hAnsi="標楷體" w:hint="eastAsia"/>
              </w:rPr>
              <w:t>配合主管機關名稱異動，</w:t>
            </w:r>
          </w:p>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rPr>
            </w:pPr>
            <w:r w:rsidRPr="00C41429">
              <w:rPr>
                <w:rFonts w:ascii="標楷體" w:eastAsia="標楷體" w:hAnsi="標楷體" w:hint="eastAsia"/>
              </w:rPr>
              <w:t>將「行政院金融監督管理委員會」修正為「金融監督管理委員會」。</w:t>
            </w:r>
          </w:p>
        </w:tc>
      </w:tr>
      <w:tr w:rsidR="00C41429" w:rsidRPr="00C41429" w:rsidTr="008C1F1C">
        <w:trPr>
          <w:trHeight w:val="1003"/>
        </w:trPr>
        <w:tc>
          <w:tcPr>
            <w:tcW w:w="1798" w:type="pct"/>
          </w:tcPr>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Cs w:val="24"/>
              </w:rPr>
            </w:pPr>
            <w:r w:rsidRPr="00C41429">
              <w:rPr>
                <w:rFonts w:ascii="標楷體" w:eastAsia="標楷體" w:hAnsi="標楷體" w:cs="細明體" w:hint="eastAsia"/>
                <w:kern w:val="0"/>
                <w:szCs w:val="24"/>
              </w:rPr>
              <w:t>第二十一條</w:t>
            </w:r>
          </w:p>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kern w:val="0"/>
                <w:szCs w:val="24"/>
              </w:rPr>
            </w:pPr>
            <w:r w:rsidRPr="00C41429">
              <w:rPr>
                <w:rFonts w:ascii="標楷體" w:eastAsia="標楷體" w:hAnsi="標楷體" w:cs="細明體" w:hint="eastAsia"/>
                <w:kern w:val="0"/>
                <w:szCs w:val="24"/>
              </w:rPr>
              <w:t>期貨信託</w:t>
            </w:r>
            <w:r w:rsidRPr="00C41429">
              <w:rPr>
                <w:rFonts w:ascii="標楷體" w:eastAsia="標楷體" w:hAnsi="標楷體" w:cs="細明體"/>
                <w:kern w:val="0"/>
                <w:szCs w:val="24"/>
              </w:rPr>
              <w:t>基金銷售機構辦理指數股票型</w:t>
            </w:r>
            <w:r w:rsidRPr="00C41429">
              <w:rPr>
                <w:rFonts w:ascii="標楷體" w:eastAsia="標楷體" w:hAnsi="標楷體" w:cs="細明體" w:hint="eastAsia"/>
                <w:kern w:val="0"/>
                <w:szCs w:val="24"/>
              </w:rPr>
              <w:t>期貨信託</w:t>
            </w:r>
            <w:r w:rsidRPr="00C41429">
              <w:rPr>
                <w:rFonts w:ascii="標楷體" w:eastAsia="標楷體" w:hAnsi="標楷體" w:cs="細明體"/>
                <w:kern w:val="0"/>
                <w:szCs w:val="24"/>
              </w:rPr>
              <w:t>基金成立日前之申購業務，得依下列規定辦理：</w:t>
            </w:r>
          </w:p>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cs="細明體"/>
                <w:kern w:val="0"/>
                <w:szCs w:val="24"/>
              </w:rPr>
            </w:pPr>
            <w:r w:rsidRPr="00C41429">
              <w:rPr>
                <w:rFonts w:ascii="標楷體" w:eastAsia="標楷體" w:hAnsi="標楷體" w:cs="細明體"/>
                <w:kern w:val="0"/>
                <w:szCs w:val="24"/>
              </w:rPr>
              <w:t>一、依第十</w:t>
            </w:r>
            <w:r w:rsidRPr="00C41429">
              <w:rPr>
                <w:rFonts w:ascii="標楷體" w:eastAsia="標楷體" w:hAnsi="標楷體" w:cs="細明體" w:hint="eastAsia"/>
                <w:kern w:val="0"/>
                <w:szCs w:val="24"/>
              </w:rPr>
              <w:t>六</w:t>
            </w:r>
            <w:r w:rsidRPr="00C41429">
              <w:rPr>
                <w:rFonts w:ascii="標楷體" w:eastAsia="標楷體" w:hAnsi="標楷體" w:cs="細明體"/>
                <w:kern w:val="0"/>
                <w:szCs w:val="24"/>
              </w:rPr>
              <w:t>條規定製作之瞭解客戶、開戶</w:t>
            </w:r>
            <w:r w:rsidRPr="00C41429">
              <w:rPr>
                <w:rFonts w:ascii="標楷體" w:eastAsia="標楷體" w:hAnsi="標楷體" w:cs="細明體" w:hint="eastAsia"/>
                <w:kern w:val="0"/>
                <w:szCs w:val="24"/>
              </w:rPr>
              <w:t>、</w:t>
            </w:r>
            <w:r w:rsidRPr="00C41429">
              <w:rPr>
                <w:rFonts w:ascii="標楷體" w:eastAsia="標楷體" w:hAnsi="標楷體" w:cs="細明體"/>
                <w:kern w:val="0"/>
                <w:szCs w:val="24"/>
              </w:rPr>
              <w:t>申購</w:t>
            </w:r>
            <w:r w:rsidRPr="00C41429">
              <w:rPr>
                <w:rFonts w:ascii="標楷體" w:eastAsia="標楷體" w:hAnsi="標楷體" w:cs="細明體" w:hint="eastAsia"/>
                <w:kern w:val="0"/>
                <w:szCs w:val="24"/>
              </w:rPr>
              <w:t>及風險預告</w:t>
            </w:r>
            <w:r w:rsidRPr="00C41429">
              <w:rPr>
                <w:rFonts w:ascii="標楷體" w:eastAsia="標楷體" w:hAnsi="標楷體" w:cs="細明體"/>
                <w:kern w:val="0"/>
                <w:szCs w:val="24"/>
              </w:rPr>
              <w:t>等文件不需再轉送</w:t>
            </w:r>
            <w:r w:rsidRPr="00C41429">
              <w:rPr>
                <w:rFonts w:ascii="標楷體" w:eastAsia="標楷體" w:hAnsi="標楷體" w:cs="細明體" w:hint="eastAsia"/>
                <w:kern w:val="0"/>
                <w:szCs w:val="24"/>
              </w:rPr>
              <w:t>期貨</w:t>
            </w:r>
            <w:r w:rsidRPr="00C41429">
              <w:rPr>
                <w:rFonts w:ascii="標楷體" w:eastAsia="標楷體" w:hAnsi="標楷體" w:cs="細明體"/>
                <w:kern w:val="0"/>
                <w:szCs w:val="24"/>
              </w:rPr>
              <w:t>信託事業留存。</w:t>
            </w:r>
          </w:p>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cs="細明體"/>
                <w:kern w:val="0"/>
                <w:szCs w:val="24"/>
              </w:rPr>
            </w:pPr>
            <w:r w:rsidRPr="00C41429">
              <w:rPr>
                <w:rFonts w:ascii="標楷體" w:eastAsia="標楷體" w:hAnsi="標楷體" w:cs="細明體"/>
                <w:kern w:val="0"/>
                <w:szCs w:val="24"/>
              </w:rPr>
              <w:t>二、逐日製作包括投資人姓名、身分證字號（或統一編號）、有價證券集中保管帳戶、申購單位數、申購價款、手續費等資料之明細表交付給</w:t>
            </w:r>
            <w:r w:rsidRPr="00C41429">
              <w:rPr>
                <w:rFonts w:ascii="標楷體" w:eastAsia="標楷體" w:hAnsi="標楷體" w:cs="細明體" w:hint="eastAsia"/>
                <w:kern w:val="0"/>
                <w:szCs w:val="24"/>
              </w:rPr>
              <w:t>期貨</w:t>
            </w:r>
            <w:r w:rsidRPr="00C41429">
              <w:rPr>
                <w:rFonts w:ascii="標楷體" w:eastAsia="標楷體" w:hAnsi="標楷體" w:cs="細明體"/>
                <w:kern w:val="0"/>
                <w:szCs w:val="24"/>
              </w:rPr>
              <w:t>信託事業。</w:t>
            </w:r>
          </w:p>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cs="細明體"/>
                <w:kern w:val="0"/>
                <w:szCs w:val="24"/>
              </w:rPr>
            </w:pPr>
            <w:r w:rsidRPr="00C41429">
              <w:rPr>
                <w:rFonts w:ascii="標楷體" w:eastAsia="標楷體" w:hAnsi="標楷體" w:cs="細明體" w:hint="eastAsia"/>
                <w:kern w:val="0"/>
                <w:szCs w:val="24"/>
              </w:rPr>
              <w:t>三、槓桿型指數股票型期貨信託基金(以下簡稱槓桿型期貨ETF)及</w:t>
            </w:r>
            <w:proofErr w:type="gramStart"/>
            <w:r w:rsidRPr="00C41429">
              <w:rPr>
                <w:rFonts w:ascii="標楷體" w:eastAsia="標楷體" w:hAnsi="標楷體" w:cs="細明體" w:hint="eastAsia"/>
                <w:kern w:val="0"/>
                <w:szCs w:val="24"/>
              </w:rPr>
              <w:t>反向型</w:t>
            </w:r>
            <w:proofErr w:type="gramEnd"/>
            <w:r w:rsidRPr="00C41429">
              <w:rPr>
                <w:rFonts w:ascii="標楷體" w:eastAsia="標楷體" w:hAnsi="標楷體" w:cs="細明體" w:hint="eastAsia"/>
                <w:kern w:val="0"/>
                <w:szCs w:val="24"/>
              </w:rPr>
              <w:t>指數股票型期貨信託基金(以下簡稱</w:t>
            </w:r>
            <w:proofErr w:type="gramStart"/>
            <w:r w:rsidRPr="00C41429">
              <w:rPr>
                <w:rFonts w:ascii="標楷體" w:eastAsia="標楷體" w:hAnsi="標楷體" w:cs="細明體" w:hint="eastAsia"/>
                <w:kern w:val="0"/>
                <w:szCs w:val="24"/>
              </w:rPr>
              <w:t>反向型</w:t>
            </w:r>
            <w:proofErr w:type="gramEnd"/>
            <w:r w:rsidRPr="00C41429">
              <w:rPr>
                <w:rFonts w:ascii="標楷體" w:eastAsia="標楷體" w:hAnsi="標楷體" w:cs="細明體" w:hint="eastAsia"/>
                <w:kern w:val="0"/>
                <w:szCs w:val="24"/>
              </w:rPr>
              <w:t>期貨ETF)於成立日前之申購作業，應先確認投資人符合證券交易所</w:t>
            </w:r>
            <w:r w:rsidRPr="00C41429">
              <w:rPr>
                <w:rFonts w:ascii="標楷體" w:eastAsia="標楷體" w:hAnsi="標楷體" w:cs="Arial" w:hint="eastAsia"/>
                <w:color w:val="0000FF"/>
                <w:kern w:val="0"/>
                <w:szCs w:val="24"/>
                <w:u w:val="single"/>
              </w:rPr>
              <w:t>或證券櫃檯買賣中心</w:t>
            </w:r>
            <w:r w:rsidRPr="00C41429">
              <w:rPr>
                <w:rFonts w:ascii="標楷體" w:eastAsia="標楷體" w:hAnsi="標楷體" w:cs="細明體" w:hint="eastAsia"/>
                <w:kern w:val="0"/>
                <w:szCs w:val="24"/>
              </w:rPr>
              <w:t>訂定之適格條件。</w:t>
            </w:r>
          </w:p>
          <w:p w:rsidR="00C41429" w:rsidRPr="00C41429" w:rsidRDefault="003A1D8D"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kern w:val="0"/>
                <w:szCs w:val="24"/>
              </w:rPr>
            </w:pPr>
            <w:r w:rsidRPr="00C41429">
              <w:rPr>
                <w:rFonts w:ascii="標楷體" w:eastAsia="標楷體" w:hAnsi="標楷體" w:cs="細明體" w:hint="eastAsia"/>
                <w:kern w:val="0"/>
                <w:szCs w:val="24"/>
              </w:rPr>
              <w:t>期貨信託事業辦理槓桿型期貨ETF及</w:t>
            </w:r>
            <w:proofErr w:type="gramStart"/>
            <w:r w:rsidRPr="00C41429">
              <w:rPr>
                <w:rFonts w:ascii="標楷體" w:eastAsia="標楷體" w:hAnsi="標楷體" w:cs="細明體" w:hint="eastAsia"/>
                <w:kern w:val="0"/>
                <w:szCs w:val="24"/>
              </w:rPr>
              <w:t>反向型</w:t>
            </w:r>
            <w:proofErr w:type="gramEnd"/>
            <w:r w:rsidRPr="00C41429">
              <w:rPr>
                <w:rFonts w:ascii="標楷體" w:eastAsia="標楷體" w:hAnsi="標楷體" w:cs="細明體" w:hint="eastAsia"/>
                <w:kern w:val="0"/>
                <w:szCs w:val="24"/>
              </w:rPr>
              <w:t>期貨ETF於成立日前之申購業務，</w:t>
            </w:r>
            <w:proofErr w:type="gramStart"/>
            <w:r w:rsidRPr="00C41429">
              <w:rPr>
                <w:rFonts w:ascii="標楷體" w:eastAsia="標楷體" w:hAnsi="標楷體" w:cs="細明體" w:hint="eastAsia"/>
                <w:kern w:val="0"/>
                <w:szCs w:val="24"/>
              </w:rPr>
              <w:t>準</w:t>
            </w:r>
            <w:proofErr w:type="gramEnd"/>
            <w:r w:rsidRPr="00C41429">
              <w:rPr>
                <w:rFonts w:ascii="標楷體" w:eastAsia="標楷體" w:hAnsi="標楷體" w:cs="細明體" w:hint="eastAsia"/>
                <w:kern w:val="0"/>
                <w:szCs w:val="24"/>
              </w:rPr>
              <w:t>用前項第三款規定。</w:t>
            </w:r>
          </w:p>
        </w:tc>
        <w:tc>
          <w:tcPr>
            <w:tcW w:w="1799" w:type="pct"/>
          </w:tcPr>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Cs w:val="24"/>
              </w:rPr>
            </w:pPr>
            <w:r w:rsidRPr="00C41429">
              <w:rPr>
                <w:rFonts w:ascii="標楷體" w:eastAsia="標楷體" w:hAnsi="標楷體" w:cs="細明體" w:hint="eastAsia"/>
                <w:kern w:val="0"/>
                <w:szCs w:val="24"/>
              </w:rPr>
              <w:t>第二十一條</w:t>
            </w:r>
          </w:p>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kern w:val="0"/>
                <w:szCs w:val="24"/>
              </w:rPr>
            </w:pPr>
            <w:r w:rsidRPr="00C41429">
              <w:rPr>
                <w:rFonts w:ascii="標楷體" w:eastAsia="標楷體" w:hAnsi="標楷體" w:cs="細明體" w:hint="eastAsia"/>
                <w:kern w:val="0"/>
                <w:szCs w:val="24"/>
              </w:rPr>
              <w:t>期貨信託</w:t>
            </w:r>
            <w:r w:rsidRPr="00C41429">
              <w:rPr>
                <w:rFonts w:ascii="標楷體" w:eastAsia="標楷體" w:hAnsi="標楷體" w:cs="細明體"/>
                <w:kern w:val="0"/>
                <w:szCs w:val="24"/>
              </w:rPr>
              <w:t>基金銷售機構辦理指數股票型</w:t>
            </w:r>
            <w:r w:rsidRPr="00C41429">
              <w:rPr>
                <w:rFonts w:ascii="標楷體" w:eastAsia="標楷體" w:hAnsi="標楷體" w:cs="細明體" w:hint="eastAsia"/>
                <w:kern w:val="0"/>
                <w:szCs w:val="24"/>
              </w:rPr>
              <w:t>期貨信託</w:t>
            </w:r>
            <w:r w:rsidRPr="00C41429">
              <w:rPr>
                <w:rFonts w:ascii="標楷體" w:eastAsia="標楷體" w:hAnsi="標楷體" w:cs="細明體"/>
                <w:kern w:val="0"/>
                <w:szCs w:val="24"/>
              </w:rPr>
              <w:t>基金成立日前之申購業務，得依下列規定辦理：</w:t>
            </w:r>
          </w:p>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cs="細明體"/>
                <w:kern w:val="0"/>
                <w:szCs w:val="24"/>
              </w:rPr>
            </w:pPr>
            <w:r w:rsidRPr="00C41429">
              <w:rPr>
                <w:rFonts w:ascii="標楷體" w:eastAsia="標楷體" w:hAnsi="標楷體" w:cs="細明體"/>
                <w:kern w:val="0"/>
                <w:szCs w:val="24"/>
              </w:rPr>
              <w:t>一、依第十</w:t>
            </w:r>
            <w:r w:rsidRPr="00C41429">
              <w:rPr>
                <w:rFonts w:ascii="標楷體" w:eastAsia="標楷體" w:hAnsi="標楷體" w:cs="細明體" w:hint="eastAsia"/>
                <w:kern w:val="0"/>
                <w:szCs w:val="24"/>
              </w:rPr>
              <w:t>六</w:t>
            </w:r>
            <w:r w:rsidRPr="00C41429">
              <w:rPr>
                <w:rFonts w:ascii="標楷體" w:eastAsia="標楷體" w:hAnsi="標楷體" w:cs="細明體"/>
                <w:kern w:val="0"/>
                <w:szCs w:val="24"/>
              </w:rPr>
              <w:t>條規定製作之瞭解客戶、開戶</w:t>
            </w:r>
            <w:r w:rsidRPr="00C41429">
              <w:rPr>
                <w:rFonts w:ascii="標楷體" w:eastAsia="標楷體" w:hAnsi="標楷體" w:cs="細明體" w:hint="eastAsia"/>
                <w:kern w:val="0"/>
                <w:szCs w:val="24"/>
              </w:rPr>
              <w:t>、</w:t>
            </w:r>
            <w:r w:rsidRPr="00C41429">
              <w:rPr>
                <w:rFonts w:ascii="標楷體" w:eastAsia="標楷體" w:hAnsi="標楷體" w:cs="細明體"/>
                <w:kern w:val="0"/>
                <w:szCs w:val="24"/>
              </w:rPr>
              <w:t>申購</w:t>
            </w:r>
            <w:r w:rsidRPr="00C41429">
              <w:rPr>
                <w:rFonts w:ascii="標楷體" w:eastAsia="標楷體" w:hAnsi="標楷體" w:cs="細明體" w:hint="eastAsia"/>
                <w:kern w:val="0"/>
                <w:szCs w:val="24"/>
              </w:rPr>
              <w:t>及風險預告</w:t>
            </w:r>
            <w:r w:rsidRPr="00C41429">
              <w:rPr>
                <w:rFonts w:ascii="標楷體" w:eastAsia="標楷體" w:hAnsi="標楷體" w:cs="細明體"/>
                <w:kern w:val="0"/>
                <w:szCs w:val="24"/>
              </w:rPr>
              <w:t>等文件不需再轉送</w:t>
            </w:r>
            <w:r w:rsidRPr="00C41429">
              <w:rPr>
                <w:rFonts w:ascii="標楷體" w:eastAsia="標楷體" w:hAnsi="標楷體" w:cs="細明體" w:hint="eastAsia"/>
                <w:kern w:val="0"/>
                <w:szCs w:val="24"/>
              </w:rPr>
              <w:t>期貨</w:t>
            </w:r>
            <w:r w:rsidRPr="00C41429">
              <w:rPr>
                <w:rFonts w:ascii="標楷體" w:eastAsia="標楷體" w:hAnsi="標楷體" w:cs="細明體"/>
                <w:kern w:val="0"/>
                <w:szCs w:val="24"/>
              </w:rPr>
              <w:t>信託事業留存。</w:t>
            </w:r>
          </w:p>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cs="細明體"/>
                <w:kern w:val="0"/>
                <w:szCs w:val="24"/>
              </w:rPr>
            </w:pPr>
            <w:r w:rsidRPr="00C41429">
              <w:rPr>
                <w:rFonts w:ascii="標楷體" w:eastAsia="標楷體" w:hAnsi="標楷體" w:cs="細明體"/>
                <w:kern w:val="0"/>
                <w:szCs w:val="24"/>
              </w:rPr>
              <w:t>二、逐日製作包括投資人姓名、身分證字號（或統一編號）、有價證券集中保管帳戶、申購單位數、申購價款、手續費等資料之明細表交付給</w:t>
            </w:r>
            <w:r w:rsidRPr="00C41429">
              <w:rPr>
                <w:rFonts w:ascii="標楷體" w:eastAsia="標楷體" w:hAnsi="標楷體" w:cs="細明體" w:hint="eastAsia"/>
                <w:kern w:val="0"/>
                <w:szCs w:val="24"/>
              </w:rPr>
              <w:t>期貨</w:t>
            </w:r>
            <w:r w:rsidRPr="00C41429">
              <w:rPr>
                <w:rFonts w:ascii="標楷體" w:eastAsia="標楷體" w:hAnsi="標楷體" w:cs="細明體"/>
                <w:kern w:val="0"/>
                <w:szCs w:val="24"/>
              </w:rPr>
              <w:t>信託事業。</w:t>
            </w:r>
          </w:p>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cs="細明體"/>
                <w:kern w:val="0"/>
                <w:szCs w:val="24"/>
              </w:rPr>
            </w:pPr>
            <w:r w:rsidRPr="00C41429">
              <w:rPr>
                <w:rFonts w:ascii="標楷體" w:eastAsia="標楷體" w:hAnsi="標楷體" w:cs="細明體" w:hint="eastAsia"/>
                <w:kern w:val="0"/>
                <w:szCs w:val="24"/>
              </w:rPr>
              <w:t>三、槓桿型指數股票型期貨信託基金(以下簡稱槓桿型期貨ETF)及</w:t>
            </w:r>
            <w:proofErr w:type="gramStart"/>
            <w:r w:rsidRPr="00C41429">
              <w:rPr>
                <w:rFonts w:ascii="標楷體" w:eastAsia="標楷體" w:hAnsi="標楷體" w:cs="細明體" w:hint="eastAsia"/>
                <w:kern w:val="0"/>
                <w:szCs w:val="24"/>
              </w:rPr>
              <w:t>反向型</w:t>
            </w:r>
            <w:proofErr w:type="gramEnd"/>
            <w:r w:rsidRPr="00C41429">
              <w:rPr>
                <w:rFonts w:ascii="標楷體" w:eastAsia="標楷體" w:hAnsi="標楷體" w:cs="細明體" w:hint="eastAsia"/>
                <w:kern w:val="0"/>
                <w:szCs w:val="24"/>
              </w:rPr>
              <w:t>指數股票型期貨信託基金(以下簡稱</w:t>
            </w:r>
            <w:proofErr w:type="gramStart"/>
            <w:r w:rsidRPr="00C41429">
              <w:rPr>
                <w:rFonts w:ascii="標楷體" w:eastAsia="標楷體" w:hAnsi="標楷體" w:cs="細明體" w:hint="eastAsia"/>
                <w:kern w:val="0"/>
                <w:szCs w:val="24"/>
              </w:rPr>
              <w:t>反向型</w:t>
            </w:r>
            <w:proofErr w:type="gramEnd"/>
            <w:r w:rsidRPr="00C41429">
              <w:rPr>
                <w:rFonts w:ascii="標楷體" w:eastAsia="標楷體" w:hAnsi="標楷體" w:cs="細明體" w:hint="eastAsia"/>
                <w:kern w:val="0"/>
                <w:szCs w:val="24"/>
              </w:rPr>
              <w:t>期貨ETF)於成立日前之申購作業，應先確認投資人符合證券交易所訂定之適格條件。</w:t>
            </w:r>
          </w:p>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kern w:val="0"/>
                <w:szCs w:val="24"/>
              </w:rPr>
            </w:pPr>
            <w:r w:rsidRPr="00C41429">
              <w:rPr>
                <w:rFonts w:ascii="標楷體" w:eastAsia="標楷體" w:hAnsi="標楷體" w:cs="細明體" w:hint="eastAsia"/>
                <w:kern w:val="0"/>
                <w:szCs w:val="24"/>
              </w:rPr>
              <w:t>期貨信託事業辦理槓桿型期貨ETF及</w:t>
            </w:r>
            <w:proofErr w:type="gramStart"/>
            <w:r w:rsidRPr="00C41429">
              <w:rPr>
                <w:rFonts w:ascii="標楷體" w:eastAsia="標楷體" w:hAnsi="標楷體" w:cs="細明體" w:hint="eastAsia"/>
                <w:kern w:val="0"/>
                <w:szCs w:val="24"/>
              </w:rPr>
              <w:t>反向型</w:t>
            </w:r>
            <w:proofErr w:type="gramEnd"/>
            <w:r w:rsidRPr="00C41429">
              <w:rPr>
                <w:rFonts w:ascii="標楷體" w:eastAsia="標楷體" w:hAnsi="標楷體" w:cs="細明體" w:hint="eastAsia"/>
                <w:kern w:val="0"/>
                <w:szCs w:val="24"/>
              </w:rPr>
              <w:t>期貨ETF於成立日前之申購業務，</w:t>
            </w:r>
            <w:proofErr w:type="gramStart"/>
            <w:r w:rsidRPr="00C41429">
              <w:rPr>
                <w:rFonts w:ascii="標楷體" w:eastAsia="標楷體" w:hAnsi="標楷體" w:cs="細明體" w:hint="eastAsia"/>
                <w:kern w:val="0"/>
                <w:szCs w:val="24"/>
              </w:rPr>
              <w:t>準</w:t>
            </w:r>
            <w:proofErr w:type="gramEnd"/>
            <w:r w:rsidRPr="00C41429">
              <w:rPr>
                <w:rFonts w:ascii="標楷體" w:eastAsia="標楷體" w:hAnsi="標楷體" w:cs="細明體" w:hint="eastAsia"/>
                <w:kern w:val="0"/>
                <w:szCs w:val="24"/>
              </w:rPr>
              <w:t>用前項第三款</w:t>
            </w:r>
            <w:bookmarkStart w:id="1" w:name="_GoBack"/>
            <w:bookmarkEnd w:id="1"/>
            <w:r w:rsidRPr="00C41429">
              <w:rPr>
                <w:rFonts w:ascii="標楷體" w:eastAsia="標楷體" w:hAnsi="標楷體" w:cs="細明體" w:hint="eastAsia"/>
                <w:kern w:val="0"/>
                <w:szCs w:val="24"/>
              </w:rPr>
              <w:t>規定。</w:t>
            </w:r>
          </w:p>
        </w:tc>
        <w:tc>
          <w:tcPr>
            <w:tcW w:w="1402" w:type="pct"/>
          </w:tcPr>
          <w:p w:rsidR="00C41429" w:rsidRPr="00C41429" w:rsidRDefault="00C41429" w:rsidP="008C1F1C">
            <w:pPr>
              <w:pStyle w:val="Default"/>
              <w:jc w:val="both"/>
              <w:rPr>
                <w:rFonts w:ascii="標楷體" w:eastAsia="標楷體" w:hAnsi="標楷體"/>
              </w:rPr>
            </w:pPr>
            <w:r w:rsidRPr="00C41429">
              <w:rPr>
                <w:rFonts w:ascii="標楷體" w:eastAsia="標楷體" w:hAnsi="標楷體" w:hint="eastAsia"/>
              </w:rPr>
              <w:t>配合</w:t>
            </w:r>
            <w:r w:rsidRPr="00C41429">
              <w:rPr>
                <w:rFonts w:ascii="標楷體" w:eastAsia="標楷體" w:hAnsi="標楷體"/>
              </w:rPr>
              <w:t>財團法人中華民國證券櫃檯買賣中心</w:t>
            </w:r>
            <w:r w:rsidRPr="00C41429">
              <w:rPr>
                <w:rFonts w:ascii="標楷體" w:eastAsia="標楷體" w:hAnsi="標楷體" w:hint="eastAsia"/>
              </w:rPr>
              <w:t>(簡稱證券櫃檯買賣中心)107年8月9日</w:t>
            </w:r>
            <w:proofErr w:type="gramStart"/>
            <w:r w:rsidRPr="00C41429">
              <w:rPr>
                <w:rFonts w:ascii="標楷體" w:eastAsia="標楷體" w:hAnsi="標楷體" w:hint="eastAsia"/>
              </w:rPr>
              <w:t>證櫃交字</w:t>
            </w:r>
            <w:proofErr w:type="gramEnd"/>
            <w:r w:rsidRPr="00C41429">
              <w:rPr>
                <w:rFonts w:ascii="標楷體" w:eastAsia="標楷體" w:hAnsi="標楷體" w:hint="eastAsia"/>
              </w:rPr>
              <w:t>第10700215502號函開放指數股票型期貨信託基金得申請櫃檯買賣，並修正該中心「指數股票型基金受益憑證買賣辦法」第三條之一、「指數股票型基金受益憑證辦理申購暨買回作業要點」第拾點相關規定，明定</w:t>
            </w:r>
            <w:r w:rsidRPr="00C41429">
              <w:rPr>
                <w:rFonts w:ascii="標楷體" w:eastAsia="標楷體" w:hAnsi="標楷體" w:cs="細明體" w:hint="eastAsia"/>
              </w:rPr>
              <w:t>投資人首次交易</w:t>
            </w:r>
            <w:r w:rsidRPr="00C41429">
              <w:rPr>
                <w:rFonts w:ascii="標楷體" w:eastAsia="標楷體" w:hAnsi="標楷體" w:hint="eastAsia"/>
              </w:rPr>
              <w:t>槓桿型期貨</w:t>
            </w:r>
            <w:r w:rsidRPr="00C41429">
              <w:rPr>
                <w:rFonts w:ascii="標楷體" w:eastAsia="標楷體" w:hAnsi="標楷體" w:cs="細明體" w:hint="eastAsia"/>
              </w:rPr>
              <w:t>ETF及</w:t>
            </w:r>
            <w:proofErr w:type="gramStart"/>
            <w:r w:rsidRPr="00C41429">
              <w:rPr>
                <w:rFonts w:ascii="標楷體" w:eastAsia="標楷體" w:hAnsi="標楷體" w:cs="細明體" w:hint="eastAsia"/>
              </w:rPr>
              <w:t>反向型</w:t>
            </w:r>
            <w:proofErr w:type="gramEnd"/>
            <w:r w:rsidRPr="00C41429">
              <w:rPr>
                <w:rFonts w:ascii="標楷體" w:eastAsia="標楷體" w:hAnsi="標楷體" w:cs="細明體" w:hint="eastAsia"/>
              </w:rPr>
              <w:t>期貨ETF</w:t>
            </w:r>
            <w:r w:rsidRPr="00C41429">
              <w:rPr>
                <w:rFonts w:ascii="標楷體" w:eastAsia="標楷體" w:hAnsi="標楷體" w:hint="eastAsia"/>
                <w:snapToGrid w:val="0"/>
              </w:rPr>
              <w:t>應具備之適格條件</w:t>
            </w:r>
            <w:r w:rsidRPr="00C41429">
              <w:rPr>
                <w:rFonts w:ascii="標楷體" w:eastAsia="標楷體" w:hAnsi="標楷體" w:cs="細明體" w:hint="eastAsia"/>
              </w:rPr>
              <w:t>等</w:t>
            </w:r>
            <w:r w:rsidRPr="00C41429">
              <w:rPr>
                <w:rFonts w:ascii="標楷體" w:eastAsia="標楷體" w:hAnsi="標楷體" w:cs="細明體" w:hint="eastAsia"/>
                <w:color w:val="auto"/>
              </w:rPr>
              <w:t>，</w:t>
            </w:r>
            <w:proofErr w:type="gramStart"/>
            <w:r w:rsidRPr="00C41429">
              <w:rPr>
                <w:rFonts w:ascii="標楷體" w:eastAsia="標楷體" w:hAnsi="標楷體" w:cs="細明體" w:hint="eastAsia"/>
                <w:color w:val="auto"/>
              </w:rPr>
              <w:t>爰</w:t>
            </w:r>
            <w:proofErr w:type="gramEnd"/>
            <w:r w:rsidRPr="00C41429">
              <w:rPr>
                <w:rFonts w:ascii="標楷體" w:eastAsia="標楷體" w:hAnsi="標楷體" w:cs="細明體"/>
              </w:rPr>
              <w:t>修</w:t>
            </w:r>
            <w:r w:rsidRPr="00C41429">
              <w:rPr>
                <w:rFonts w:ascii="標楷體" w:eastAsia="標楷體" w:hAnsi="標楷體" w:cs="細明體" w:hint="eastAsia"/>
              </w:rPr>
              <w:t>正</w:t>
            </w:r>
            <w:r w:rsidRPr="00C41429">
              <w:rPr>
                <w:rFonts w:ascii="標楷體" w:eastAsia="標楷體" w:hAnsi="標楷體" w:cs="細明體"/>
              </w:rPr>
              <w:t>本條第一項</w:t>
            </w:r>
            <w:r w:rsidRPr="00C41429">
              <w:rPr>
                <w:rFonts w:ascii="標楷體" w:eastAsia="標楷體" w:hAnsi="標楷體"/>
              </w:rPr>
              <w:t>第三款</w:t>
            </w:r>
            <w:r w:rsidRPr="00C41429">
              <w:rPr>
                <w:rFonts w:ascii="標楷體" w:eastAsia="標楷體" w:hAnsi="標楷體" w:hint="eastAsia"/>
              </w:rPr>
              <w:t>規定</w:t>
            </w:r>
            <w:r w:rsidRPr="00C41429">
              <w:rPr>
                <w:rFonts w:ascii="標楷體" w:eastAsia="標楷體" w:hAnsi="標楷體"/>
              </w:rPr>
              <w:t>。</w:t>
            </w:r>
          </w:p>
        </w:tc>
      </w:tr>
    </w:tbl>
    <w:p w:rsidR="00D36304" w:rsidRPr="00C41429" w:rsidRDefault="00D36304"/>
    <w:sectPr w:rsidR="00D36304" w:rsidRPr="00C41429" w:rsidSect="00C41429">
      <w:pgSz w:w="11906" w:h="16838" w:code="9"/>
      <w:pgMar w:top="1134" w:right="1134" w:bottom="902" w:left="1134"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9F6" w:rsidRDefault="00A259F6" w:rsidP="00B52968">
      <w:r>
        <w:separator/>
      </w:r>
    </w:p>
  </w:endnote>
  <w:endnote w:type="continuationSeparator" w:id="0">
    <w:p w:rsidR="00A259F6" w:rsidRDefault="00A259F6" w:rsidP="00B52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鐀.">
    <w:altName w:val="標楷體"/>
    <w:panose1 w:val="00000000000000000000"/>
    <w:charset w:val="88"/>
    <w:family w:val="roma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968" w:rsidRDefault="00B52968">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B52968" w:rsidRDefault="00B5296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968" w:rsidRDefault="00B52968">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3A1D8D">
      <w:rPr>
        <w:rStyle w:val="a7"/>
        <w:noProof/>
      </w:rPr>
      <w:t>14</w:t>
    </w:r>
    <w:r>
      <w:rPr>
        <w:rStyle w:val="a7"/>
      </w:rPr>
      <w:fldChar w:fldCharType="end"/>
    </w:r>
  </w:p>
  <w:p w:rsidR="00B52968" w:rsidRDefault="00B5296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9F6" w:rsidRDefault="00A259F6" w:rsidP="00B52968">
      <w:r>
        <w:separator/>
      </w:r>
    </w:p>
  </w:footnote>
  <w:footnote w:type="continuationSeparator" w:id="0">
    <w:p w:rsidR="00A259F6" w:rsidRDefault="00A259F6" w:rsidP="00B529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F80E36"/>
    <w:multiLevelType w:val="hybridMultilevel"/>
    <w:tmpl w:val="189A2EC8"/>
    <w:lvl w:ilvl="0" w:tplc="08EE1546">
      <w:start w:val="1"/>
      <w:numFmt w:val="ideographDigital"/>
      <w:lvlText w:val="第%1條"/>
      <w:lvlJc w:val="left"/>
      <w:pPr>
        <w:tabs>
          <w:tab w:val="num" w:pos="1905"/>
        </w:tabs>
        <w:ind w:left="1905" w:hanging="825"/>
      </w:pPr>
      <w:rPr>
        <w:rFonts w:ascii="標楷體" w:eastAsia="標楷體" w:hAnsi="標楷體" w:hint="default"/>
        <w:color w:val="000000"/>
        <w:sz w:val="28"/>
        <w:szCs w:val="28"/>
      </w:rPr>
    </w:lvl>
    <w:lvl w:ilvl="1" w:tplc="04090019" w:tentative="1">
      <w:start w:val="1"/>
      <w:numFmt w:val="ideographTraditional"/>
      <w:lvlText w:val="%2、"/>
      <w:lvlJc w:val="left"/>
      <w:pPr>
        <w:tabs>
          <w:tab w:val="num" w:pos="808"/>
        </w:tabs>
        <w:ind w:left="808" w:hanging="480"/>
      </w:pPr>
    </w:lvl>
    <w:lvl w:ilvl="2" w:tplc="0409001B" w:tentative="1">
      <w:start w:val="1"/>
      <w:numFmt w:val="lowerRoman"/>
      <w:lvlText w:val="%3."/>
      <w:lvlJc w:val="right"/>
      <w:pPr>
        <w:tabs>
          <w:tab w:val="num" w:pos="1288"/>
        </w:tabs>
        <w:ind w:left="1288" w:hanging="480"/>
      </w:pPr>
    </w:lvl>
    <w:lvl w:ilvl="3" w:tplc="0409000F" w:tentative="1">
      <w:start w:val="1"/>
      <w:numFmt w:val="decimal"/>
      <w:lvlText w:val="%4."/>
      <w:lvlJc w:val="left"/>
      <w:pPr>
        <w:tabs>
          <w:tab w:val="num" w:pos="1768"/>
        </w:tabs>
        <w:ind w:left="1768" w:hanging="480"/>
      </w:pPr>
    </w:lvl>
    <w:lvl w:ilvl="4" w:tplc="04090019" w:tentative="1">
      <w:start w:val="1"/>
      <w:numFmt w:val="ideographTraditional"/>
      <w:lvlText w:val="%5、"/>
      <w:lvlJc w:val="left"/>
      <w:pPr>
        <w:tabs>
          <w:tab w:val="num" w:pos="2248"/>
        </w:tabs>
        <w:ind w:left="2248" w:hanging="480"/>
      </w:pPr>
    </w:lvl>
    <w:lvl w:ilvl="5" w:tplc="0409001B" w:tentative="1">
      <w:start w:val="1"/>
      <w:numFmt w:val="lowerRoman"/>
      <w:lvlText w:val="%6."/>
      <w:lvlJc w:val="right"/>
      <w:pPr>
        <w:tabs>
          <w:tab w:val="num" w:pos="2728"/>
        </w:tabs>
        <w:ind w:left="2728" w:hanging="480"/>
      </w:pPr>
    </w:lvl>
    <w:lvl w:ilvl="6" w:tplc="0409000F" w:tentative="1">
      <w:start w:val="1"/>
      <w:numFmt w:val="decimal"/>
      <w:lvlText w:val="%7."/>
      <w:lvlJc w:val="left"/>
      <w:pPr>
        <w:tabs>
          <w:tab w:val="num" w:pos="3208"/>
        </w:tabs>
        <w:ind w:left="3208" w:hanging="480"/>
      </w:pPr>
    </w:lvl>
    <w:lvl w:ilvl="7" w:tplc="04090019" w:tentative="1">
      <w:start w:val="1"/>
      <w:numFmt w:val="ideographTraditional"/>
      <w:lvlText w:val="%8、"/>
      <w:lvlJc w:val="left"/>
      <w:pPr>
        <w:tabs>
          <w:tab w:val="num" w:pos="3688"/>
        </w:tabs>
        <w:ind w:left="3688" w:hanging="480"/>
      </w:pPr>
    </w:lvl>
    <w:lvl w:ilvl="8" w:tplc="0409001B" w:tentative="1">
      <w:start w:val="1"/>
      <w:numFmt w:val="lowerRoman"/>
      <w:lvlText w:val="%9."/>
      <w:lvlJc w:val="right"/>
      <w:pPr>
        <w:tabs>
          <w:tab w:val="num" w:pos="4168"/>
        </w:tabs>
        <w:ind w:left="4168" w:hanging="480"/>
      </w:pPr>
    </w:lvl>
  </w:abstractNum>
  <w:abstractNum w:abstractNumId="1">
    <w:nsid w:val="628E25CC"/>
    <w:multiLevelType w:val="hybridMultilevel"/>
    <w:tmpl w:val="44061586"/>
    <w:lvl w:ilvl="0" w:tplc="C5AE5758">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692E6818"/>
    <w:multiLevelType w:val="singleLevel"/>
    <w:tmpl w:val="534E38F4"/>
    <w:lvl w:ilvl="0">
      <w:start w:val="1"/>
      <w:numFmt w:val="taiwaneseCountingThousand"/>
      <w:lvlText w:val="%1、"/>
      <w:lvlJc w:val="left"/>
      <w:pPr>
        <w:tabs>
          <w:tab w:val="num" w:pos="480"/>
        </w:tabs>
        <w:ind w:left="480" w:hanging="48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487"/>
    <w:rsid w:val="00014487"/>
    <w:rsid w:val="00021234"/>
    <w:rsid w:val="0002734A"/>
    <w:rsid w:val="0002776D"/>
    <w:rsid w:val="00046DF4"/>
    <w:rsid w:val="00051EF0"/>
    <w:rsid w:val="00072D05"/>
    <w:rsid w:val="00076412"/>
    <w:rsid w:val="00076F20"/>
    <w:rsid w:val="00081219"/>
    <w:rsid w:val="000B247F"/>
    <w:rsid w:val="000C05C4"/>
    <w:rsid w:val="000C33EA"/>
    <w:rsid w:val="000D401F"/>
    <w:rsid w:val="000E0EDF"/>
    <w:rsid w:val="000F1DC9"/>
    <w:rsid w:val="0010360D"/>
    <w:rsid w:val="00103BB8"/>
    <w:rsid w:val="001060BC"/>
    <w:rsid w:val="001206C5"/>
    <w:rsid w:val="001350F8"/>
    <w:rsid w:val="00142FC2"/>
    <w:rsid w:val="00144CE0"/>
    <w:rsid w:val="001512E2"/>
    <w:rsid w:val="00194ED3"/>
    <w:rsid w:val="001964AF"/>
    <w:rsid w:val="001A7CE6"/>
    <w:rsid w:val="001B3425"/>
    <w:rsid w:val="001D0E7A"/>
    <w:rsid w:val="001F6B63"/>
    <w:rsid w:val="00203976"/>
    <w:rsid w:val="00207AD2"/>
    <w:rsid w:val="002169B4"/>
    <w:rsid w:val="00227D79"/>
    <w:rsid w:val="00250E5A"/>
    <w:rsid w:val="00267BF0"/>
    <w:rsid w:val="00275EA8"/>
    <w:rsid w:val="002775A4"/>
    <w:rsid w:val="00281B08"/>
    <w:rsid w:val="00292C1C"/>
    <w:rsid w:val="002948D4"/>
    <w:rsid w:val="002A4154"/>
    <w:rsid w:val="002B1B16"/>
    <w:rsid w:val="002C608B"/>
    <w:rsid w:val="00323B4B"/>
    <w:rsid w:val="003411A2"/>
    <w:rsid w:val="003476EB"/>
    <w:rsid w:val="0036170F"/>
    <w:rsid w:val="003734BC"/>
    <w:rsid w:val="003827DF"/>
    <w:rsid w:val="003A1D8D"/>
    <w:rsid w:val="003B1BCD"/>
    <w:rsid w:val="003C1EA6"/>
    <w:rsid w:val="003D254E"/>
    <w:rsid w:val="003D438C"/>
    <w:rsid w:val="003E5421"/>
    <w:rsid w:val="003F0F7E"/>
    <w:rsid w:val="00400D47"/>
    <w:rsid w:val="0040191E"/>
    <w:rsid w:val="0040396A"/>
    <w:rsid w:val="0040600F"/>
    <w:rsid w:val="00410C48"/>
    <w:rsid w:val="00414F3B"/>
    <w:rsid w:val="00420130"/>
    <w:rsid w:val="00420988"/>
    <w:rsid w:val="00487E32"/>
    <w:rsid w:val="00493743"/>
    <w:rsid w:val="0049382B"/>
    <w:rsid w:val="00494879"/>
    <w:rsid w:val="004A03DE"/>
    <w:rsid w:val="004A22AA"/>
    <w:rsid w:val="004B15BB"/>
    <w:rsid w:val="004B5E27"/>
    <w:rsid w:val="004C77E1"/>
    <w:rsid w:val="004D240F"/>
    <w:rsid w:val="004F762C"/>
    <w:rsid w:val="0050171C"/>
    <w:rsid w:val="005233A0"/>
    <w:rsid w:val="00531139"/>
    <w:rsid w:val="0053570B"/>
    <w:rsid w:val="00543280"/>
    <w:rsid w:val="00574F25"/>
    <w:rsid w:val="00590B87"/>
    <w:rsid w:val="005925B3"/>
    <w:rsid w:val="00595B00"/>
    <w:rsid w:val="005B55EB"/>
    <w:rsid w:val="005C7B4E"/>
    <w:rsid w:val="005D76EF"/>
    <w:rsid w:val="005F0258"/>
    <w:rsid w:val="005F057F"/>
    <w:rsid w:val="00622896"/>
    <w:rsid w:val="0062338A"/>
    <w:rsid w:val="00637485"/>
    <w:rsid w:val="0064710C"/>
    <w:rsid w:val="006501CB"/>
    <w:rsid w:val="006578BE"/>
    <w:rsid w:val="00672F93"/>
    <w:rsid w:val="00681E2E"/>
    <w:rsid w:val="006872B0"/>
    <w:rsid w:val="0068790A"/>
    <w:rsid w:val="006960EA"/>
    <w:rsid w:val="006B21BA"/>
    <w:rsid w:val="006C4EA3"/>
    <w:rsid w:val="006C6841"/>
    <w:rsid w:val="006D5068"/>
    <w:rsid w:val="006F0F5C"/>
    <w:rsid w:val="00735DA7"/>
    <w:rsid w:val="00735F04"/>
    <w:rsid w:val="00743413"/>
    <w:rsid w:val="00744A95"/>
    <w:rsid w:val="00746DB9"/>
    <w:rsid w:val="007475E3"/>
    <w:rsid w:val="00795814"/>
    <w:rsid w:val="007A2260"/>
    <w:rsid w:val="007A3325"/>
    <w:rsid w:val="007C0E60"/>
    <w:rsid w:val="007E37C1"/>
    <w:rsid w:val="0080133C"/>
    <w:rsid w:val="00807FF3"/>
    <w:rsid w:val="008219A7"/>
    <w:rsid w:val="00824774"/>
    <w:rsid w:val="00826AEE"/>
    <w:rsid w:val="00841AF5"/>
    <w:rsid w:val="00845B35"/>
    <w:rsid w:val="00872587"/>
    <w:rsid w:val="0087419F"/>
    <w:rsid w:val="00876450"/>
    <w:rsid w:val="00890298"/>
    <w:rsid w:val="008B1BE9"/>
    <w:rsid w:val="008B59B8"/>
    <w:rsid w:val="008C14EE"/>
    <w:rsid w:val="008C2AE0"/>
    <w:rsid w:val="008E0764"/>
    <w:rsid w:val="008E2FC2"/>
    <w:rsid w:val="008E558B"/>
    <w:rsid w:val="008E6F55"/>
    <w:rsid w:val="008F13D2"/>
    <w:rsid w:val="008F41C3"/>
    <w:rsid w:val="0090449C"/>
    <w:rsid w:val="00927ED0"/>
    <w:rsid w:val="00947398"/>
    <w:rsid w:val="00950DE8"/>
    <w:rsid w:val="009540FB"/>
    <w:rsid w:val="00957172"/>
    <w:rsid w:val="0097178E"/>
    <w:rsid w:val="00971AD0"/>
    <w:rsid w:val="0097570B"/>
    <w:rsid w:val="0098354A"/>
    <w:rsid w:val="009916F5"/>
    <w:rsid w:val="00992B54"/>
    <w:rsid w:val="009C4281"/>
    <w:rsid w:val="009C5BB3"/>
    <w:rsid w:val="009F0803"/>
    <w:rsid w:val="00A259F6"/>
    <w:rsid w:val="00A41D47"/>
    <w:rsid w:val="00A4314A"/>
    <w:rsid w:val="00A45EBF"/>
    <w:rsid w:val="00A6138B"/>
    <w:rsid w:val="00A61D9A"/>
    <w:rsid w:val="00A705FA"/>
    <w:rsid w:val="00A73FAF"/>
    <w:rsid w:val="00A77B22"/>
    <w:rsid w:val="00A82A3D"/>
    <w:rsid w:val="00A82F00"/>
    <w:rsid w:val="00A9410B"/>
    <w:rsid w:val="00AA3044"/>
    <w:rsid w:val="00AA4A52"/>
    <w:rsid w:val="00AA7B86"/>
    <w:rsid w:val="00AB3471"/>
    <w:rsid w:val="00AB462D"/>
    <w:rsid w:val="00AC4BC7"/>
    <w:rsid w:val="00AC57FF"/>
    <w:rsid w:val="00B14455"/>
    <w:rsid w:val="00B41CA5"/>
    <w:rsid w:val="00B52968"/>
    <w:rsid w:val="00B66849"/>
    <w:rsid w:val="00B76027"/>
    <w:rsid w:val="00B838F3"/>
    <w:rsid w:val="00B83F3B"/>
    <w:rsid w:val="00B85874"/>
    <w:rsid w:val="00B8605C"/>
    <w:rsid w:val="00BC0339"/>
    <w:rsid w:val="00BC18EC"/>
    <w:rsid w:val="00BC2851"/>
    <w:rsid w:val="00BD5BAE"/>
    <w:rsid w:val="00BF2EF7"/>
    <w:rsid w:val="00BF34E5"/>
    <w:rsid w:val="00C25075"/>
    <w:rsid w:val="00C27677"/>
    <w:rsid w:val="00C304CE"/>
    <w:rsid w:val="00C41429"/>
    <w:rsid w:val="00C46F63"/>
    <w:rsid w:val="00C5742B"/>
    <w:rsid w:val="00C73273"/>
    <w:rsid w:val="00C74F56"/>
    <w:rsid w:val="00C80CBE"/>
    <w:rsid w:val="00C84037"/>
    <w:rsid w:val="00C93090"/>
    <w:rsid w:val="00C93184"/>
    <w:rsid w:val="00CB14C4"/>
    <w:rsid w:val="00CE1A81"/>
    <w:rsid w:val="00CE1C7C"/>
    <w:rsid w:val="00D04C57"/>
    <w:rsid w:val="00D079A2"/>
    <w:rsid w:val="00D36304"/>
    <w:rsid w:val="00D4470B"/>
    <w:rsid w:val="00D45F1B"/>
    <w:rsid w:val="00D640A7"/>
    <w:rsid w:val="00D67BA2"/>
    <w:rsid w:val="00D95B50"/>
    <w:rsid w:val="00DA4158"/>
    <w:rsid w:val="00DA6352"/>
    <w:rsid w:val="00DE1C7B"/>
    <w:rsid w:val="00DE5D86"/>
    <w:rsid w:val="00DF4A83"/>
    <w:rsid w:val="00E06F01"/>
    <w:rsid w:val="00E12697"/>
    <w:rsid w:val="00E25215"/>
    <w:rsid w:val="00E370B0"/>
    <w:rsid w:val="00E5599C"/>
    <w:rsid w:val="00E63D6A"/>
    <w:rsid w:val="00E6517D"/>
    <w:rsid w:val="00E67F15"/>
    <w:rsid w:val="00E7785E"/>
    <w:rsid w:val="00E80C9B"/>
    <w:rsid w:val="00E8152F"/>
    <w:rsid w:val="00E82F23"/>
    <w:rsid w:val="00E84B39"/>
    <w:rsid w:val="00E85798"/>
    <w:rsid w:val="00E95C88"/>
    <w:rsid w:val="00EA37F2"/>
    <w:rsid w:val="00EA3877"/>
    <w:rsid w:val="00EC48A1"/>
    <w:rsid w:val="00EC4E35"/>
    <w:rsid w:val="00EC4EAA"/>
    <w:rsid w:val="00ED1091"/>
    <w:rsid w:val="00EF1958"/>
    <w:rsid w:val="00EF57E3"/>
    <w:rsid w:val="00EF5A6F"/>
    <w:rsid w:val="00F05B3E"/>
    <w:rsid w:val="00F11638"/>
    <w:rsid w:val="00F13236"/>
    <w:rsid w:val="00F22812"/>
    <w:rsid w:val="00F232FE"/>
    <w:rsid w:val="00F26963"/>
    <w:rsid w:val="00F33510"/>
    <w:rsid w:val="00F412B4"/>
    <w:rsid w:val="00F4185A"/>
    <w:rsid w:val="00F46C17"/>
    <w:rsid w:val="00F52ABB"/>
    <w:rsid w:val="00F57F92"/>
    <w:rsid w:val="00F60A4B"/>
    <w:rsid w:val="00F63986"/>
    <w:rsid w:val="00F63AE9"/>
    <w:rsid w:val="00F644B9"/>
    <w:rsid w:val="00F647E3"/>
    <w:rsid w:val="00F70B7B"/>
    <w:rsid w:val="00F81C00"/>
    <w:rsid w:val="00FA0738"/>
    <w:rsid w:val="00FB179A"/>
    <w:rsid w:val="00FF00B8"/>
    <w:rsid w:val="00FF65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968"/>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52968"/>
    <w:pPr>
      <w:tabs>
        <w:tab w:val="center" w:pos="4153"/>
        <w:tab w:val="right" w:pos="8306"/>
      </w:tabs>
      <w:snapToGrid w:val="0"/>
    </w:pPr>
    <w:rPr>
      <w:sz w:val="20"/>
      <w:szCs w:val="20"/>
    </w:rPr>
  </w:style>
  <w:style w:type="character" w:customStyle="1" w:styleId="a4">
    <w:name w:val="頁首 字元"/>
    <w:basedOn w:val="a0"/>
    <w:link w:val="a3"/>
    <w:uiPriority w:val="99"/>
    <w:rsid w:val="00B52968"/>
    <w:rPr>
      <w:sz w:val="20"/>
      <w:szCs w:val="20"/>
    </w:rPr>
  </w:style>
  <w:style w:type="paragraph" w:styleId="a5">
    <w:name w:val="footer"/>
    <w:basedOn w:val="a"/>
    <w:link w:val="a6"/>
    <w:unhideWhenUsed/>
    <w:rsid w:val="00B52968"/>
    <w:pPr>
      <w:tabs>
        <w:tab w:val="center" w:pos="4153"/>
        <w:tab w:val="right" w:pos="8306"/>
      </w:tabs>
      <w:snapToGrid w:val="0"/>
    </w:pPr>
    <w:rPr>
      <w:sz w:val="20"/>
      <w:szCs w:val="20"/>
    </w:rPr>
  </w:style>
  <w:style w:type="character" w:customStyle="1" w:styleId="a6">
    <w:name w:val="頁尾 字元"/>
    <w:basedOn w:val="a0"/>
    <w:link w:val="a5"/>
    <w:uiPriority w:val="99"/>
    <w:rsid w:val="00B52968"/>
    <w:rPr>
      <w:sz w:val="20"/>
      <w:szCs w:val="20"/>
    </w:rPr>
  </w:style>
  <w:style w:type="character" w:styleId="a7">
    <w:name w:val="page number"/>
    <w:basedOn w:val="a0"/>
    <w:rsid w:val="00B52968"/>
  </w:style>
  <w:style w:type="paragraph" w:customStyle="1" w:styleId="Layout">
    <w:name w:val="Layout"/>
    <w:basedOn w:val="a"/>
    <w:rsid w:val="00B52968"/>
    <w:pPr>
      <w:widowControl/>
      <w:overflowPunct w:val="0"/>
      <w:autoSpaceDE w:val="0"/>
      <w:autoSpaceDN w:val="0"/>
      <w:adjustRightInd w:val="0"/>
      <w:textAlignment w:val="baseline"/>
    </w:pPr>
    <w:rPr>
      <w:rFonts w:ascii="Arial" w:hAnsi="Arial"/>
      <w:kern w:val="0"/>
      <w:szCs w:val="20"/>
    </w:rPr>
  </w:style>
  <w:style w:type="paragraph" w:styleId="a8">
    <w:name w:val="Body Text Indent"/>
    <w:basedOn w:val="a"/>
    <w:link w:val="a9"/>
    <w:unhideWhenUsed/>
    <w:rsid w:val="00B52968"/>
    <w:pPr>
      <w:spacing w:after="120"/>
      <w:ind w:leftChars="200" w:left="480"/>
    </w:pPr>
  </w:style>
  <w:style w:type="character" w:customStyle="1" w:styleId="a9">
    <w:name w:val="本文縮排 字元"/>
    <w:basedOn w:val="a0"/>
    <w:link w:val="a8"/>
    <w:rsid w:val="00B52968"/>
    <w:rPr>
      <w:rFonts w:ascii="Calibri" w:eastAsia="新細明體" w:hAnsi="Calibri" w:cs="Times New Roman"/>
    </w:rPr>
  </w:style>
  <w:style w:type="paragraph" w:customStyle="1" w:styleId="Default">
    <w:name w:val="Default"/>
    <w:rsid w:val="00C41429"/>
    <w:pPr>
      <w:widowControl w:val="0"/>
      <w:autoSpaceDE w:val="0"/>
      <w:autoSpaceDN w:val="0"/>
      <w:adjustRightInd w:val="0"/>
    </w:pPr>
    <w:rPr>
      <w:rFonts w:ascii="標楷體..鐀." w:eastAsia="標楷體..鐀." w:hAnsi="Calibri" w:cs="標楷體..鐀."/>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968"/>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52968"/>
    <w:pPr>
      <w:tabs>
        <w:tab w:val="center" w:pos="4153"/>
        <w:tab w:val="right" w:pos="8306"/>
      </w:tabs>
      <w:snapToGrid w:val="0"/>
    </w:pPr>
    <w:rPr>
      <w:sz w:val="20"/>
      <w:szCs w:val="20"/>
    </w:rPr>
  </w:style>
  <w:style w:type="character" w:customStyle="1" w:styleId="a4">
    <w:name w:val="頁首 字元"/>
    <w:basedOn w:val="a0"/>
    <w:link w:val="a3"/>
    <w:uiPriority w:val="99"/>
    <w:rsid w:val="00B52968"/>
    <w:rPr>
      <w:sz w:val="20"/>
      <w:szCs w:val="20"/>
    </w:rPr>
  </w:style>
  <w:style w:type="paragraph" w:styleId="a5">
    <w:name w:val="footer"/>
    <w:basedOn w:val="a"/>
    <w:link w:val="a6"/>
    <w:unhideWhenUsed/>
    <w:rsid w:val="00B52968"/>
    <w:pPr>
      <w:tabs>
        <w:tab w:val="center" w:pos="4153"/>
        <w:tab w:val="right" w:pos="8306"/>
      </w:tabs>
      <w:snapToGrid w:val="0"/>
    </w:pPr>
    <w:rPr>
      <w:sz w:val="20"/>
      <w:szCs w:val="20"/>
    </w:rPr>
  </w:style>
  <w:style w:type="character" w:customStyle="1" w:styleId="a6">
    <w:name w:val="頁尾 字元"/>
    <w:basedOn w:val="a0"/>
    <w:link w:val="a5"/>
    <w:uiPriority w:val="99"/>
    <w:rsid w:val="00B52968"/>
    <w:rPr>
      <w:sz w:val="20"/>
      <w:szCs w:val="20"/>
    </w:rPr>
  </w:style>
  <w:style w:type="character" w:styleId="a7">
    <w:name w:val="page number"/>
    <w:basedOn w:val="a0"/>
    <w:rsid w:val="00B52968"/>
  </w:style>
  <w:style w:type="paragraph" w:customStyle="1" w:styleId="Layout">
    <w:name w:val="Layout"/>
    <w:basedOn w:val="a"/>
    <w:rsid w:val="00B52968"/>
    <w:pPr>
      <w:widowControl/>
      <w:overflowPunct w:val="0"/>
      <w:autoSpaceDE w:val="0"/>
      <w:autoSpaceDN w:val="0"/>
      <w:adjustRightInd w:val="0"/>
      <w:textAlignment w:val="baseline"/>
    </w:pPr>
    <w:rPr>
      <w:rFonts w:ascii="Arial" w:hAnsi="Arial"/>
      <w:kern w:val="0"/>
      <w:szCs w:val="20"/>
    </w:rPr>
  </w:style>
  <w:style w:type="paragraph" w:styleId="a8">
    <w:name w:val="Body Text Indent"/>
    <w:basedOn w:val="a"/>
    <w:link w:val="a9"/>
    <w:unhideWhenUsed/>
    <w:rsid w:val="00B52968"/>
    <w:pPr>
      <w:spacing w:after="120"/>
      <w:ind w:leftChars="200" w:left="480"/>
    </w:pPr>
  </w:style>
  <w:style w:type="character" w:customStyle="1" w:styleId="a9">
    <w:name w:val="本文縮排 字元"/>
    <w:basedOn w:val="a0"/>
    <w:link w:val="a8"/>
    <w:rsid w:val="00B52968"/>
    <w:rPr>
      <w:rFonts w:ascii="Calibri" w:eastAsia="新細明體" w:hAnsi="Calibri" w:cs="Times New Roman"/>
    </w:rPr>
  </w:style>
  <w:style w:type="paragraph" w:customStyle="1" w:styleId="Default">
    <w:name w:val="Default"/>
    <w:rsid w:val="00C41429"/>
    <w:pPr>
      <w:widowControl w:val="0"/>
      <w:autoSpaceDE w:val="0"/>
      <w:autoSpaceDN w:val="0"/>
      <w:adjustRightInd w:val="0"/>
    </w:pPr>
    <w:rPr>
      <w:rFonts w:ascii="標楷體..鐀." w:eastAsia="標楷體..鐀." w:hAnsi="Calibri" w:cs="標楷體..鐀."/>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1724</Words>
  <Characters>9830</Characters>
  <Application>Microsoft Office Word</Application>
  <DocSecurity>0</DocSecurity>
  <Lines>81</Lines>
  <Paragraphs>23</Paragraphs>
  <ScaleCrop>false</ScaleCrop>
  <Company/>
  <LinksUpToDate>false</LinksUpToDate>
  <CharactersWithSpaces>11531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郭仙娟</dc:creator>
  <cp:keywords/>
  <dc:description/>
  <cp:lastModifiedBy>郭仙娟</cp:lastModifiedBy>
  <cp:revision>4</cp:revision>
  <dcterms:created xsi:type="dcterms:W3CDTF">2018-11-14T00:51:00Z</dcterms:created>
  <dcterms:modified xsi:type="dcterms:W3CDTF">2018-11-14T00:56:00Z</dcterms:modified>
</cp:coreProperties>
</file>